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7</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数据湖应用技术第2部分：光存储资源管理系统接口（API）</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7</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数据湖应用技术第2部分：光存储资源管理系统接口（API）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2C372028"/>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2023-08-07T04:46:02Z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B957A38BAD0E4054A04BF8AEC674C55F_13</vt:lpwstr>
  </property>
</Properties>
</file>