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E058C">
      <w:pPr>
        <w:adjustRightInd/>
        <w:spacing w:line="240" w:lineRule="auto"/>
        <w:jc w:val="center"/>
        <w:rPr>
          <w:rFonts w:ascii="Times New Roman" w:hAnsi="Times New Roman" w:eastAsia="黑体"/>
          <w:sz w:val="32"/>
          <w:szCs w:val="32"/>
        </w:rPr>
      </w:pPr>
      <w:r>
        <w:rPr>
          <w:rFonts w:hint="eastAsia" w:ascii="Times New Roman" w:hAnsi="Times New Roman" w:eastAsia="黑体"/>
          <w:sz w:val="32"/>
          <w:szCs w:val="32"/>
        </w:rPr>
        <w:t>团体标准《</w:t>
      </w:r>
      <w:bookmarkStart w:id="0" w:name="_Hlk152839583"/>
      <w:r>
        <w:rPr>
          <w:rFonts w:hint="eastAsia" w:ascii="Times New Roman" w:hAnsi="Times New Roman" w:eastAsia="黑体"/>
          <w:sz w:val="32"/>
          <w:szCs w:val="32"/>
        </w:rPr>
        <w:t>信息技术 感知无损压缩</w:t>
      </w:r>
      <w:r>
        <w:rPr>
          <w:rFonts w:ascii="Times New Roman" w:hAnsi="Times New Roman" w:eastAsia="黑体"/>
          <w:sz w:val="32"/>
          <w:szCs w:val="32"/>
        </w:rPr>
        <w:t xml:space="preserve"> </w:t>
      </w:r>
      <w:r>
        <w:rPr>
          <w:rFonts w:hint="eastAsia" w:ascii="Times New Roman" w:hAnsi="Times New Roman" w:eastAsia="黑体"/>
          <w:sz w:val="32"/>
          <w:szCs w:val="32"/>
        </w:rPr>
        <w:t>第4</w:t>
      </w:r>
      <w:r>
        <w:rPr>
          <w:rFonts w:ascii="Times New Roman" w:hAnsi="Times New Roman" w:eastAsia="黑体"/>
          <w:sz w:val="32"/>
          <w:szCs w:val="32"/>
        </w:rPr>
        <w:t>部分：</w:t>
      </w:r>
      <w:r>
        <w:rPr>
          <w:rFonts w:hint="eastAsia" w:ascii="Times New Roman" w:hAnsi="Times New Roman" w:eastAsia="黑体"/>
          <w:sz w:val="32"/>
          <w:szCs w:val="32"/>
        </w:rPr>
        <w:t>专业制作</w:t>
      </w:r>
      <w:r>
        <w:rPr>
          <w:rFonts w:ascii="Times New Roman" w:hAnsi="Times New Roman" w:eastAsia="黑体"/>
          <w:sz w:val="32"/>
          <w:szCs w:val="32"/>
        </w:rPr>
        <w:t>图像</w:t>
      </w:r>
      <w:bookmarkEnd w:id="0"/>
      <w:r>
        <w:rPr>
          <w:rFonts w:hint="eastAsia" w:ascii="Times New Roman" w:hAnsi="Times New Roman" w:eastAsia="黑体"/>
          <w:sz w:val="32"/>
          <w:szCs w:val="32"/>
        </w:rPr>
        <w:t>》（征求意见</w:t>
      </w:r>
      <w:r>
        <w:rPr>
          <w:rFonts w:ascii="Times New Roman" w:hAnsi="Times New Roman" w:eastAsia="黑体"/>
          <w:sz w:val="32"/>
          <w:szCs w:val="32"/>
        </w:rPr>
        <w:t>稿</w:t>
      </w:r>
      <w:r>
        <w:rPr>
          <w:rFonts w:hint="eastAsia" w:ascii="Times New Roman" w:hAnsi="Times New Roman" w:eastAsia="黑体"/>
          <w:sz w:val="32"/>
          <w:szCs w:val="32"/>
        </w:rPr>
        <w:t>）编制说明</w:t>
      </w:r>
    </w:p>
    <w:p w14:paraId="6A877D29">
      <w:pPr>
        <w:spacing w:line="360" w:lineRule="auto"/>
        <w:ind w:firstLine="472" w:firstLineChars="196"/>
        <w:rPr>
          <w:rFonts w:ascii="宋体" w:hAnsi="宋体"/>
          <w:b/>
          <w:bCs/>
          <w:sz w:val="24"/>
        </w:rPr>
      </w:pPr>
    </w:p>
    <w:p w14:paraId="6AD98A08">
      <w:pPr>
        <w:adjustRightInd/>
        <w:spacing w:line="360" w:lineRule="auto"/>
        <w:ind w:firstLine="480" w:firstLineChars="200"/>
        <w:outlineLvl w:val="0"/>
        <w:rPr>
          <w:rFonts w:ascii="Times New Roman" w:hAnsi="Times New Roman" w:eastAsia="黑体"/>
          <w:sz w:val="24"/>
          <w:szCs w:val="24"/>
        </w:rPr>
      </w:pPr>
      <w:r>
        <w:rPr>
          <w:rFonts w:hint="eastAsia" w:ascii="Times New Roman" w:hAnsi="Times New Roman" w:eastAsia="黑体"/>
          <w:sz w:val="24"/>
          <w:szCs w:val="24"/>
        </w:rPr>
        <w:t>一、工作简况</w:t>
      </w:r>
    </w:p>
    <w:p w14:paraId="369135CA">
      <w:pPr>
        <w:spacing w:line="360" w:lineRule="auto"/>
        <w:ind w:firstLine="482" w:firstLineChars="200"/>
        <w:rPr>
          <w:rFonts w:ascii="宋体" w:hAnsi="宋体"/>
          <w:b/>
          <w:bCs/>
          <w:sz w:val="24"/>
        </w:rPr>
      </w:pPr>
      <w:r>
        <w:rPr>
          <w:rFonts w:hint="eastAsia" w:ascii="宋体" w:hAnsi="宋体"/>
          <w:b/>
          <w:bCs/>
          <w:sz w:val="24"/>
        </w:rPr>
        <w:t>1. 任务来源</w:t>
      </w:r>
    </w:p>
    <w:p w14:paraId="7BC95AF9">
      <w:pPr>
        <w:pStyle w:val="11"/>
        <w:framePr w:w="0" w:hRule="auto" w:wrap="auto" w:vAnchor="margin" w:hAnchor="text" w:xAlign="left" w:yAlign="inline"/>
        <w:tabs>
          <w:tab w:val="left" w:pos="0"/>
        </w:tabs>
        <w:spacing w:line="360" w:lineRule="auto"/>
        <w:ind w:firstLine="480" w:firstLineChars="200"/>
        <w:jc w:val="both"/>
        <w:rPr>
          <w:rFonts w:ascii="宋体" w:hAnsi="宋体" w:eastAsia="宋体" w:cs="宋体"/>
          <w:sz w:val="24"/>
        </w:rPr>
      </w:pPr>
      <w:r>
        <w:rPr>
          <w:rFonts w:ascii="宋体" w:hAnsi="宋体" w:eastAsia="宋体" w:cs="宋体"/>
          <w:sz w:val="24"/>
        </w:rPr>
        <w:t>《</w:t>
      </w:r>
      <w:r>
        <w:rPr>
          <w:rFonts w:hint="eastAsia" w:ascii="宋体" w:hAnsi="宋体" w:eastAsia="宋体" w:cs="宋体"/>
          <w:sz w:val="24"/>
        </w:rPr>
        <w:t>信息技术 感知无损压缩 第4部分：专业制作图像</w:t>
      </w:r>
      <w:r>
        <w:rPr>
          <w:rFonts w:ascii="宋体" w:hAnsi="宋体" w:eastAsia="宋体" w:cs="宋体"/>
          <w:sz w:val="24"/>
        </w:rPr>
        <w:t xml:space="preserve">》（以下简称PLLC-P4 </w:t>
      </w:r>
      <w:r>
        <w:rPr>
          <w:rFonts w:hint="eastAsia" w:ascii="宋体" w:hAnsi="宋体" w:eastAsia="宋体" w:cs="宋体"/>
          <w:sz w:val="24"/>
        </w:rPr>
        <w:t>标准）规定了专业制作图像码流语法及配套的解码流程，旨在为专业制作图像提供感知无损压缩，满足高分辨率、高位深、高动态范围的需求。本文件规定了解码流程，确保压缩数据重建后的视觉无损质量；定义了用于解析压缩数据的码流语法；本文件适用于广泛的专业级高质量视频应用，包括但不限于：电视广播、数字电影、流媒体、实时视频系统、专业视频网络、高端监控、医疗影像、沉浸式媒体。标准计划号为2025041102。</w:t>
      </w:r>
    </w:p>
    <w:p w14:paraId="76B4056E">
      <w:pPr>
        <w:spacing w:line="360" w:lineRule="auto"/>
        <w:ind w:firstLine="482" w:firstLineChars="200"/>
        <w:rPr>
          <w:rFonts w:ascii="宋体" w:hAnsi="宋体"/>
          <w:b/>
          <w:bCs/>
          <w:sz w:val="24"/>
        </w:rPr>
      </w:pPr>
      <w:r>
        <w:rPr>
          <w:rFonts w:hint="eastAsia" w:ascii="宋体" w:hAnsi="宋体"/>
          <w:b/>
          <w:bCs/>
          <w:sz w:val="24"/>
        </w:rPr>
        <w:t>2. 编制组成</w:t>
      </w:r>
    </w:p>
    <w:p w14:paraId="73413A47">
      <w:pPr>
        <w:pStyle w:val="11"/>
        <w:framePr w:w="0" w:hRule="auto" w:wrap="auto" w:vAnchor="margin" w:hAnchor="text" w:xAlign="left" w:yAlign="inline"/>
        <w:tabs>
          <w:tab w:val="left" w:pos="0"/>
        </w:tabs>
        <w:spacing w:line="360" w:lineRule="auto"/>
        <w:ind w:firstLine="480" w:firstLineChars="200"/>
        <w:jc w:val="both"/>
        <w:rPr>
          <w:rFonts w:ascii="宋体" w:hAnsi="宋体" w:eastAsia="宋体" w:cs="宋体"/>
          <w:sz w:val="24"/>
        </w:rPr>
      </w:pPr>
      <w:r>
        <w:rPr>
          <w:rFonts w:hint="eastAsia" w:ascii="宋体" w:hAnsi="宋体" w:eastAsia="宋体" w:cs="宋体"/>
          <w:sz w:val="24"/>
        </w:rPr>
        <w:t>本文件起草单位：中央广播电视总台、北京大学、华为技术有限公司、成都索贝数码科技股份有限公司、深圳市大疆创新科技有限公司、国家广播电影电视总局广播电视规划院、上海海思技术有限公司、北京博雅睿视科技有限公司、中兴通讯股份有限公司。</w:t>
      </w:r>
    </w:p>
    <w:p w14:paraId="2865B699">
      <w:pPr>
        <w:spacing w:line="360" w:lineRule="auto"/>
        <w:ind w:firstLine="480" w:firstLineChars="200"/>
        <w:rPr>
          <w:rFonts w:ascii="宋体" w:hAnsi="宋体"/>
          <w:sz w:val="24"/>
        </w:rPr>
      </w:pPr>
      <w:r>
        <w:rPr>
          <w:rFonts w:hint="eastAsia" w:ascii="宋体" w:hAnsi="宋体"/>
          <w:sz w:val="24"/>
        </w:rPr>
        <w:t>本文件起草人：姜文波</w:t>
      </w:r>
      <w:r>
        <w:rPr>
          <w:rFonts w:hint="eastAsia" w:ascii="宋体" w:hAnsi="宋体"/>
          <w:sz w:val="24"/>
          <w:lang w:eastAsia="zh-CN"/>
        </w:rPr>
        <w:t>、</w:t>
      </w:r>
      <w:r>
        <w:rPr>
          <w:rFonts w:hint="eastAsia" w:ascii="宋体" w:hAnsi="宋体"/>
          <w:sz w:val="24"/>
        </w:rPr>
        <w:t>马思伟、潘晓菲、郑萧桢、张嘉琪、赵寅、毛珏、王苫社、杨海涛、张伟民、宋泽田、林翔宇、柳鑫、韩旭、张金沙、郑建宏、黄成、杨明佳、魏建超、曾幸、赵海英、崔晓冉、黄铁军、高文。</w:t>
      </w:r>
    </w:p>
    <w:p w14:paraId="611AC859">
      <w:pPr>
        <w:spacing w:line="360" w:lineRule="auto"/>
        <w:ind w:firstLine="482" w:firstLineChars="200"/>
        <w:rPr>
          <w:rFonts w:ascii="宋体" w:hAnsi="宋体"/>
          <w:b/>
          <w:bCs/>
          <w:sz w:val="24"/>
        </w:rPr>
      </w:pPr>
      <w:r>
        <w:rPr>
          <w:rFonts w:hint="eastAsia" w:ascii="宋体" w:hAnsi="宋体"/>
          <w:b/>
          <w:bCs/>
          <w:sz w:val="24"/>
        </w:rPr>
        <w:t>3. 编制背景</w:t>
      </w:r>
    </w:p>
    <w:p w14:paraId="5B84E415">
      <w:pPr>
        <w:pStyle w:val="11"/>
        <w:framePr w:w="0" w:hRule="auto" w:wrap="auto" w:vAnchor="margin" w:hAnchor="text" w:xAlign="left" w:yAlign="inline"/>
        <w:tabs>
          <w:tab w:val="left" w:pos="0"/>
        </w:tabs>
        <w:spacing w:line="360" w:lineRule="auto"/>
        <w:ind w:firstLine="480" w:firstLineChars="200"/>
        <w:jc w:val="both"/>
        <w:rPr>
          <w:rFonts w:ascii="宋体" w:hAnsi="宋体" w:eastAsia="宋体" w:cs="宋体"/>
          <w:sz w:val="24"/>
        </w:rPr>
      </w:pPr>
      <w:r>
        <w:rPr>
          <w:rFonts w:hint="eastAsia" w:ascii="宋体" w:hAnsi="宋体" w:eastAsia="宋体" w:cs="宋体"/>
          <w:sz w:val="24"/>
        </w:rPr>
        <w:t>数字音视频编解码技术标准化工作组（简称</w:t>
      </w:r>
      <w:r>
        <w:rPr>
          <w:rFonts w:ascii="宋体" w:hAnsi="宋体" w:eastAsia="宋体" w:cs="宋体"/>
          <w:sz w:val="24"/>
        </w:rPr>
        <w:t>AVS</w:t>
      </w:r>
      <w:r>
        <w:rPr>
          <w:rFonts w:hint="eastAsia" w:ascii="宋体" w:hAnsi="宋体" w:eastAsia="宋体" w:cs="宋体"/>
          <w:sz w:val="24"/>
        </w:rPr>
        <w:t>工作组）由国家信息产业部科学技术司于</w:t>
      </w:r>
      <w:r>
        <w:rPr>
          <w:rFonts w:ascii="宋体" w:hAnsi="宋体" w:eastAsia="宋体" w:cs="宋体"/>
          <w:sz w:val="24"/>
        </w:rPr>
        <w:t>2002</w:t>
      </w:r>
      <w:r>
        <w:rPr>
          <w:rFonts w:hint="eastAsia" w:ascii="宋体" w:hAnsi="宋体" w:eastAsia="宋体" w:cs="宋体"/>
          <w:sz w:val="24"/>
        </w:rPr>
        <w:t>年</w:t>
      </w:r>
      <w:r>
        <w:rPr>
          <w:rFonts w:ascii="宋体" w:hAnsi="宋体" w:eastAsia="宋体" w:cs="宋体"/>
          <w:sz w:val="24"/>
        </w:rPr>
        <w:t>6</w:t>
      </w:r>
      <w:r>
        <w:rPr>
          <w:rFonts w:hint="eastAsia" w:ascii="宋体" w:hAnsi="宋体" w:eastAsia="宋体" w:cs="宋体"/>
          <w:sz w:val="24"/>
        </w:rPr>
        <w:t>月批准成立。工作组的任务是：面向我国的信息产业需求，联合国内企业和科研机构，制（修）订数字音视频的压缩、解压缩、处理和表示等共性技术标准，为数字音视频设备与系统提供高效经济的编解码技术，服务于高分辨率数字广播、高密度激光数字存储媒体、无线宽带多媒体通讯、互联网宽带流媒体等重大信息产业应用。自AVS工作组2002年成立以来，至今，已制订了多代视频/图像压缩相关的国家标准。PLLC-P4标准的核心是在主观视觉质量没有损伤的前提下将高分辨率、高帧率、高采样精度的视频信号进行压缩。PLLC-P4标准和AVS系列编码标准、文字编码标准等一样都是信源编码标准，正如ASCII分别之于英文信息系统，GB-2312、GB-18030之于中文信息系统，或者AVS之于GB/T 20090、GB/T 33475.2-2016，PLLC-P4标准是数字音视频系统在专业图像制作领域的基础标准。</w:t>
      </w:r>
    </w:p>
    <w:p w14:paraId="142EED19">
      <w:pPr>
        <w:spacing w:line="360" w:lineRule="auto"/>
        <w:ind w:firstLine="482" w:firstLineChars="200"/>
        <w:rPr>
          <w:rFonts w:ascii="宋体" w:hAnsi="宋体"/>
          <w:b/>
          <w:bCs/>
          <w:sz w:val="24"/>
        </w:rPr>
      </w:pPr>
      <w:r>
        <w:rPr>
          <w:rFonts w:hint="eastAsia" w:ascii="宋体" w:hAnsi="宋体"/>
          <w:b/>
          <w:bCs/>
          <w:sz w:val="24"/>
        </w:rPr>
        <w:t>4. 编制过程</w:t>
      </w:r>
    </w:p>
    <w:p w14:paraId="674A8809">
      <w:pPr>
        <w:ind w:firstLine="480" w:firstLineChars="200"/>
        <w:rPr>
          <w:rFonts w:ascii="宋体" w:hAnsi="宋体"/>
          <w:sz w:val="24"/>
        </w:rPr>
      </w:pPr>
      <w:r>
        <w:rPr>
          <w:rFonts w:hint="eastAsia" w:ascii="宋体" w:hAnsi="宋体"/>
          <w:sz w:val="24"/>
        </w:rPr>
        <w:t>工作组自2023年3月AVS工作组第84次会议开始，讨论并探究可用于专业制作图像场景下的感知无损压缩技术需求，并对现有国际同类标准进行了详细梳理，经过多次需求分析和相关技术审议后正式确定了AVS视频感知无损压缩标准的技术需求。</w:t>
      </w:r>
    </w:p>
    <w:p w14:paraId="74D0F0B2">
      <w:pPr>
        <w:ind w:firstLine="480" w:firstLineChars="200"/>
        <w:rPr>
          <w:rFonts w:ascii="宋体" w:hAnsi="宋体"/>
          <w:sz w:val="24"/>
        </w:rPr>
      </w:pPr>
      <w:r>
        <w:rPr>
          <w:rFonts w:hint="eastAsia" w:ascii="宋体" w:hAnsi="宋体"/>
          <w:sz w:val="24"/>
        </w:rPr>
        <w:t>本标准的制定工作始于2023年3月召开的AVS工作组第84次会议。在该次会议上，工作组正式启动了对专业制作图像场景下应用感知无损压缩技术的深入探讨。围绕这一核心目标，工作组展开了系统性的研究工作。首要任务是全面梳理和深入理解该应用场景下对视频压缩技术的具体需求，重点聚焦于如何实现主观视觉上的无损质量，同时兼顾编码效率、计算复杂度、系统集成性等关键要素。在明确需求方向的基础上，工作组投入了大量精力对国际上已有的、同类型或相关的视频压缩技术标准进行了详尽的调研和分析。这一过程旨在广泛借鉴国际先进经验，明晰现有技术的优势、局限及其适用场景，为后续自主技术路线的确立提供坚实依据和参考基准。此后，工作组历经了多轮深入的需求分析与技术审议环节。 这些讨论并非一蹴而就，而是通过多次工作组会议及相关技术研讨，反复推敲、辨析、凝练而成。在需求分析阶段，对前期梳理的应用需求进行了细致的验证、细化和优先级排序，确保需求定义的科学性、合理性和可操作性。在技术审议阶段，则着重探讨了满足既定需求的潜在技术方案，评估其可行性、效能表现以及与现有体系的兼容性，并对不同技术路径进行了充分的比较和权衡。</w:t>
      </w:r>
    </w:p>
    <w:p w14:paraId="47A82562">
      <w:pPr>
        <w:ind w:firstLine="480" w:firstLineChars="200"/>
        <w:rPr>
          <w:rFonts w:ascii="宋体" w:hAnsi="宋体"/>
          <w:sz w:val="24"/>
        </w:rPr>
      </w:pPr>
      <w:r>
        <w:rPr>
          <w:rFonts w:hint="eastAsia" w:ascii="宋体" w:hAnsi="宋体"/>
          <w:sz w:val="24"/>
        </w:rPr>
        <w:t>经过上述一系列严谨、系统的工作流程，包括需求引导、国际标准对标、技术审议、多轮内部研讨与综合评估，工作组最终在充分共识的基础上，形成了PLLC-P4标准文档。</w:t>
      </w:r>
    </w:p>
    <w:p w14:paraId="3151A4B3">
      <w:pPr>
        <w:spacing w:line="360" w:lineRule="auto"/>
        <w:ind w:firstLine="482" w:firstLineChars="200"/>
        <w:rPr>
          <w:rFonts w:ascii="宋体" w:hAnsi="宋体"/>
          <w:b/>
          <w:bCs/>
          <w:sz w:val="24"/>
        </w:rPr>
      </w:pPr>
      <w:r>
        <w:rPr>
          <w:rFonts w:hint="eastAsia" w:ascii="宋体" w:hAnsi="宋体"/>
          <w:b/>
          <w:bCs/>
          <w:sz w:val="24"/>
        </w:rPr>
        <w:t>5. 主要起草人所做的工作</w:t>
      </w:r>
    </w:p>
    <w:p w14:paraId="2428424B">
      <w:pPr>
        <w:spacing w:line="360" w:lineRule="auto"/>
        <w:ind w:firstLine="482" w:firstLineChars="200"/>
        <w:rPr>
          <w:rFonts w:ascii="宋体" w:hAnsi="宋体"/>
          <w:sz w:val="24"/>
        </w:rPr>
      </w:pPr>
      <w:r>
        <w:rPr>
          <w:rFonts w:hint="eastAsia" w:ascii="宋体" w:hAnsi="宋体"/>
          <w:b/>
          <w:sz w:val="24"/>
        </w:rPr>
        <w:t>起草单位</w:t>
      </w:r>
      <w:r>
        <w:rPr>
          <w:rFonts w:hint="eastAsia" w:ascii="宋体" w:hAnsi="宋体"/>
          <w:sz w:val="24"/>
        </w:rPr>
        <w:t>：中央广播电视总台、北京大学、华为技术有限公司、成都索贝数码科技股份有限公司、深圳市大疆创新科技有限公司、国家广播电影电视总局广播电视规划院、上海海思技术有限公司、北京博雅睿视科技有限公司、中兴通讯股份有限公司：主要负责项目的组织与实施、关键技术的研发与规范、标准的起草、标准的编写、意见的征集与修改、定稿、报批工作。</w:t>
      </w:r>
    </w:p>
    <w:p w14:paraId="3783F3DD">
      <w:pPr>
        <w:spacing w:line="360" w:lineRule="auto"/>
        <w:ind w:firstLine="482" w:firstLineChars="200"/>
        <w:rPr>
          <w:rFonts w:ascii="宋体" w:hAnsi="宋体"/>
          <w:sz w:val="24"/>
        </w:rPr>
      </w:pPr>
      <w:r>
        <w:rPr>
          <w:rFonts w:hint="eastAsia" w:ascii="宋体" w:hAnsi="宋体"/>
          <w:b/>
          <w:sz w:val="24"/>
        </w:rPr>
        <w:t>主要起草人</w:t>
      </w:r>
      <w:r>
        <w:rPr>
          <w:rFonts w:hint="eastAsia" w:ascii="宋体" w:hAnsi="宋体"/>
          <w:sz w:val="24"/>
        </w:rPr>
        <w:t>：姜文波</w:t>
      </w:r>
      <w:r>
        <w:rPr>
          <w:rFonts w:hint="eastAsia" w:ascii="宋体" w:hAnsi="宋体"/>
          <w:sz w:val="24"/>
          <w:lang w:eastAsia="zh-CN"/>
        </w:rPr>
        <w:t>、</w:t>
      </w:r>
      <w:r>
        <w:rPr>
          <w:rFonts w:hint="eastAsia" w:ascii="宋体" w:hAnsi="宋体"/>
          <w:sz w:val="24"/>
        </w:rPr>
        <w:t>高文、黄铁军、马思伟、郑萧桢和梁凡</w:t>
      </w:r>
      <w:r>
        <w:rPr>
          <w:rFonts w:hint="eastAsia"/>
          <w:sz w:val="24"/>
          <w:szCs w:val="24"/>
        </w:rPr>
        <w:t>牵头标准制定工作，提出了技术提案、参与了参考软件开发并负责了标准文本编辑工作；潘晓菲</w:t>
      </w:r>
      <w:r>
        <w:rPr>
          <w:rFonts w:hint="eastAsia" w:ascii="宋体" w:hAnsi="宋体"/>
          <w:sz w:val="24"/>
        </w:rPr>
        <w:t>、张嘉琪、赵寅、毛珏、王苫社、杨海涛、宋泽田、林翔宇、柳鑫、韩旭、张金沙、郑建宏</w:t>
      </w:r>
      <w:r>
        <w:rPr>
          <w:rFonts w:hint="eastAsia"/>
          <w:sz w:val="24"/>
          <w:szCs w:val="24"/>
        </w:rPr>
        <w:t>提出了技术提案、参与了标准制定过程中的讨论、参考软件开发和标准文本审阅修订；张伟民、黄成、杨明佳、魏建超、曾幸、赵海英、崔晓冉参与了标准需求讨论及部分技术讨论、在标准制定过程中给出了相应意见</w:t>
      </w:r>
      <w:r>
        <w:rPr>
          <w:rFonts w:hint="eastAsia" w:ascii="宋体" w:hAnsi="宋体"/>
          <w:sz w:val="24"/>
        </w:rPr>
        <w:t>。</w:t>
      </w:r>
    </w:p>
    <w:p w14:paraId="5C2F3D1A">
      <w:pPr>
        <w:pStyle w:val="9"/>
        <w:spacing w:line="360" w:lineRule="auto"/>
        <w:ind w:firstLine="480"/>
        <w:rPr>
          <w:rFonts w:ascii="黑体" w:hAnsi="黑体" w:eastAsia="黑体" w:cs="黑体"/>
          <w:bCs/>
          <w:kern w:val="2"/>
          <w:sz w:val="24"/>
          <w:szCs w:val="21"/>
        </w:rPr>
      </w:pPr>
      <w:r>
        <w:rPr>
          <w:rFonts w:hint="eastAsia" w:ascii="黑体" w:hAnsi="黑体" w:eastAsia="黑体" w:cs="黑体"/>
          <w:bCs/>
          <w:sz w:val="24"/>
          <w:szCs w:val="24"/>
        </w:rPr>
        <w:t>二</w:t>
      </w:r>
      <w:r>
        <w:rPr>
          <w:rFonts w:hint="eastAsia" w:ascii="黑体" w:hAnsi="黑体" w:eastAsia="黑体" w:cs="黑体"/>
          <w:bCs/>
          <w:kern w:val="2"/>
          <w:sz w:val="24"/>
          <w:szCs w:val="21"/>
        </w:rPr>
        <w:t>、标准编制原则和确定主要内容的论据及解决的主要问题</w:t>
      </w:r>
    </w:p>
    <w:p w14:paraId="1B47E3CB">
      <w:pPr>
        <w:spacing w:line="360" w:lineRule="auto"/>
        <w:ind w:firstLine="482" w:firstLineChars="200"/>
        <w:rPr>
          <w:b/>
          <w:sz w:val="24"/>
        </w:rPr>
      </w:pPr>
      <w:r>
        <w:rPr>
          <w:rFonts w:hint="eastAsia"/>
          <w:b/>
          <w:sz w:val="24"/>
        </w:rPr>
        <w:t>1.</w:t>
      </w:r>
      <w:r>
        <w:rPr>
          <w:b/>
          <w:sz w:val="24"/>
        </w:rPr>
        <w:t xml:space="preserve"> </w:t>
      </w:r>
      <w:r>
        <w:rPr>
          <w:rFonts w:hint="eastAsia"/>
          <w:b/>
          <w:sz w:val="24"/>
        </w:rPr>
        <w:t>本标准的编制原则</w:t>
      </w:r>
    </w:p>
    <w:p w14:paraId="2FFA91F4">
      <w:pPr>
        <w:spacing w:line="360" w:lineRule="auto"/>
        <w:ind w:firstLine="480" w:firstLineChars="200"/>
        <w:rPr>
          <w:rFonts w:ascii="宋体" w:hAnsi="宋体"/>
          <w:kern w:val="0"/>
          <w:sz w:val="24"/>
          <w:szCs w:val="20"/>
        </w:rPr>
      </w:pPr>
      <w:r>
        <w:rPr>
          <w:rFonts w:hint="eastAsia" w:ascii="宋体" w:hAnsi="宋体"/>
          <w:sz w:val="24"/>
        </w:rPr>
        <w:t>PLLC-P4标准是为了适应专业制作图像领域超高清视频制作中对图像和视频高效压缩技术的需要而制定的，目标是在达到有效视频信号压缩的同时保持尽可能低的硬件实现复杂度。PLLC-P4标准是以我国科研机构和重点企业为首、引领全球信息技术领域有影响力企业共同集体创新而成。为了形成优化的技术方案，工作组视频专题组根据标准的实际应用设定了详细的评估条件和测试方法，收集了反映各种典型情况的测试序列，技术评估的基本依据是综合考虑提案对编码效率的贡献、实现复杂度和知识产权情况，这些原则与手段为PLLC-P4专业制作图像编码标准的技术先进性和妥善解决知识产权问题奠定了坚实基础</w:t>
      </w:r>
      <w:r>
        <w:rPr>
          <w:rFonts w:hint="eastAsia" w:ascii="宋体" w:hAnsi="宋体"/>
          <w:kern w:val="0"/>
          <w:sz w:val="24"/>
          <w:szCs w:val="20"/>
        </w:rPr>
        <w:t>。</w:t>
      </w:r>
    </w:p>
    <w:p w14:paraId="3ABE01C0">
      <w:pPr>
        <w:numPr>
          <w:ilvl w:val="0"/>
          <w:numId w:val="1"/>
        </w:numPr>
        <w:spacing w:line="360" w:lineRule="auto"/>
        <w:ind w:firstLine="482" w:firstLineChars="200"/>
        <w:rPr>
          <w:b/>
          <w:sz w:val="24"/>
        </w:rPr>
      </w:pPr>
      <w:r>
        <w:rPr>
          <w:rFonts w:hint="eastAsia"/>
          <w:b/>
          <w:sz w:val="24"/>
        </w:rPr>
        <w:t xml:space="preserve"> 确定主要内容的论据</w:t>
      </w:r>
    </w:p>
    <w:p w14:paraId="265600DD">
      <w:pPr>
        <w:spacing w:line="360" w:lineRule="auto"/>
        <w:ind w:firstLine="480" w:firstLineChars="200"/>
        <w:rPr>
          <w:rFonts w:ascii="Times New Roman" w:hAnsi="Times New Roman"/>
          <w:sz w:val="24"/>
        </w:rPr>
      </w:pPr>
      <w:r>
        <w:rPr>
          <w:rFonts w:hint="eastAsia" w:ascii="Times New Roman" w:hAnsi="Times New Roman"/>
          <w:sz w:val="24"/>
        </w:rPr>
        <w:t>本标准是经过多次内部研讨，以科学严谨的态度面对征集意见，对内容进行反复商议和修改，从而逐渐优化形成的。在2</w:t>
      </w:r>
      <w:r>
        <w:rPr>
          <w:rFonts w:ascii="Times New Roman" w:hAnsi="Times New Roman"/>
          <w:sz w:val="24"/>
        </w:rPr>
        <w:t>02</w:t>
      </w:r>
      <w:r>
        <w:rPr>
          <w:rFonts w:hint="eastAsia" w:ascii="Times New Roman" w:hAnsi="Times New Roman"/>
          <w:sz w:val="24"/>
        </w:rPr>
        <w:t>3年召开的第一次专题研讨会上，研究了标准的初步制定计划，讨论了国际有关标准的实施现状，计划了PLLC-P4标准的核心需求与关键技术，经过一系列的讨论和研究，达成了PLLC-P4标准的研究技术路线；在随后召开的数次封闭专家组内部研讨会上，研究了标准编制的核心技术框架，研究了PLLC-P4标准与其他相关标准感知损伤程度的判定依据，研究了标准制定的若干关键技术与核心算法，讨论了标准存在的技术和协调性问题，经过专家的交叉检查与讨论，最后达成了标准在内容与技术路线上的一致性。</w:t>
      </w:r>
    </w:p>
    <w:p w14:paraId="4C6BD728">
      <w:pPr>
        <w:pStyle w:val="9"/>
        <w:numPr>
          <w:ilvl w:val="0"/>
          <w:numId w:val="1"/>
        </w:numPr>
        <w:spacing w:line="360" w:lineRule="auto"/>
        <w:ind w:firstLine="482"/>
        <w:rPr>
          <w:rFonts w:hAnsi="宋体"/>
          <w:b/>
          <w:bCs/>
          <w:color w:val="000000"/>
          <w:sz w:val="24"/>
          <w:szCs w:val="24"/>
        </w:rPr>
      </w:pPr>
      <w:r>
        <w:rPr>
          <w:rFonts w:hint="eastAsia" w:hAnsi="宋体"/>
          <w:b/>
          <w:bCs/>
          <w:color w:val="000000"/>
          <w:sz w:val="24"/>
          <w:szCs w:val="24"/>
        </w:rPr>
        <w:t xml:space="preserve"> 解决的主要问题</w:t>
      </w:r>
    </w:p>
    <w:p w14:paraId="6029EE33">
      <w:pPr>
        <w:spacing w:line="360" w:lineRule="auto"/>
        <w:ind w:firstLine="480" w:firstLineChars="200"/>
        <w:rPr>
          <w:rFonts w:hAnsi="宋体"/>
          <w:sz w:val="24"/>
        </w:rPr>
      </w:pPr>
      <w:r>
        <w:rPr>
          <w:rFonts w:hint="eastAsia" w:hAnsi="宋体"/>
          <w:sz w:val="24"/>
        </w:rPr>
        <w:t>感知无损视频编码采用了与传统混合视频编码框架相似的流水框架，区别在于增加了码率控制而去除了变换，即将一幅图像首先划分成编码块，每个编码块先划分成预测块进行预测、量化，最后量化后的残差与所有编码模式信息一起进行无损的熵编码进而生成码流。与国际已有的JPEG-XS、ProRes等视频编码标准的不同之处在于</w:t>
      </w:r>
      <w:r>
        <w:rPr>
          <w:rFonts w:hint="eastAsia" w:ascii="Times New Roman" w:hAnsi="Times New Roman"/>
          <w:sz w:val="24"/>
        </w:rPr>
        <w:t>PLLC-P4</w:t>
      </w:r>
      <w:r>
        <w:rPr>
          <w:rFonts w:hint="eastAsia" w:hAnsi="宋体"/>
          <w:sz w:val="24"/>
        </w:rPr>
        <w:t>采用了基于5/3小波变换、帧内预测等编码技术，支持高分辨率、高帧率、高位深、高动态范围等高质量图像。</w:t>
      </w:r>
    </w:p>
    <w:p w14:paraId="43A3FE1B">
      <w:pPr>
        <w:pStyle w:val="9"/>
        <w:spacing w:line="360" w:lineRule="auto"/>
        <w:ind w:firstLine="482"/>
        <w:rPr>
          <w:rFonts w:hAnsi="宋体"/>
          <w:b/>
          <w:bCs/>
          <w:color w:val="000000"/>
          <w:sz w:val="24"/>
          <w:szCs w:val="24"/>
        </w:rPr>
      </w:pPr>
      <w:r>
        <w:rPr>
          <w:rFonts w:hint="eastAsia" w:hAnsi="宋体"/>
          <w:b/>
          <w:bCs/>
          <w:color w:val="000000"/>
          <w:sz w:val="24"/>
          <w:szCs w:val="24"/>
        </w:rPr>
        <w:t>4．有关技术问题说明</w:t>
      </w:r>
    </w:p>
    <w:p w14:paraId="05583B03">
      <w:pPr>
        <w:spacing w:line="360" w:lineRule="auto"/>
        <w:ind w:firstLine="480" w:firstLineChars="200"/>
        <w:rPr>
          <w:rFonts w:ascii="Times New Roman" w:hAnsi="Times New Roman" w:cs="Arial"/>
          <w:sz w:val="24"/>
        </w:rPr>
      </w:pPr>
      <w:r>
        <w:rPr>
          <w:rFonts w:hint="eastAsia" w:ascii="Times New Roman" w:hAnsi="Times New Roman"/>
          <w:sz w:val="24"/>
        </w:rPr>
        <w:t>PLLC-P4的特色技术包括：</w:t>
      </w:r>
    </w:p>
    <w:p w14:paraId="24DC9677">
      <w:pPr>
        <w:pStyle w:val="14"/>
        <w:numPr>
          <w:ilvl w:val="0"/>
          <w:numId w:val="2"/>
        </w:numPr>
        <w:spacing w:line="360" w:lineRule="auto"/>
        <w:rPr>
          <w:b/>
          <w:sz w:val="24"/>
        </w:rPr>
      </w:pPr>
      <w:r>
        <w:rPr>
          <w:rFonts w:hint="eastAsia"/>
          <w:b/>
          <w:sz w:val="24"/>
        </w:rPr>
        <w:t>更灵活的块划分方法</w:t>
      </w:r>
    </w:p>
    <w:p w14:paraId="28B416F0">
      <w:pPr>
        <w:spacing w:line="240" w:lineRule="auto"/>
        <w:ind w:firstLine="480" w:firstLineChars="200"/>
        <w:rPr>
          <w:rFonts w:ascii="宋体" w:hAnsi="宋体" w:cs="宋体"/>
          <w:color w:val="000000"/>
          <w:sz w:val="24"/>
        </w:rPr>
      </w:pPr>
      <w:r>
        <w:rPr>
          <w:rFonts w:hint="eastAsia" w:ascii="Times New Roman" w:hAnsi="Times New Roman" w:cs="Arial"/>
          <w:sz w:val="24"/>
        </w:rPr>
        <w:t>PLLC-P4标准</w:t>
      </w:r>
      <w:r>
        <w:rPr>
          <w:rFonts w:ascii="宋体" w:hAnsi="宋体" w:cs="宋体"/>
          <w:color w:val="000000"/>
          <w:sz w:val="24"/>
        </w:rPr>
        <w:t>为提升高码率场景熵编解码的并行度，LL子带</w:t>
      </w:r>
      <w:r>
        <w:rPr>
          <w:rFonts w:hint="eastAsia" w:ascii="宋体" w:hAnsi="宋体" w:cs="宋体"/>
          <w:color w:val="000000"/>
          <w:sz w:val="24"/>
        </w:rPr>
        <w:t>内的宏块编码成一个子码流，HL、LH、HH子带中的宏块交织一起编码成一个子码流。</w:t>
      </w:r>
      <w:r>
        <w:rPr>
          <w:rFonts w:ascii="宋体" w:hAnsi="宋体" w:cs="宋体"/>
          <w:color w:val="000000"/>
          <w:sz w:val="24"/>
        </w:rPr>
        <w:t>高频子带的解码和低频子带的解码可相互独立解码。</w:t>
      </w:r>
    </w:p>
    <w:p w14:paraId="5B8E0D82">
      <w:pPr>
        <w:pStyle w:val="2"/>
        <w:ind w:left="0" w:leftChars="0"/>
      </w:pPr>
      <w:r>
        <w:drawing>
          <wp:anchor distT="0" distB="0" distL="114300" distR="114300" simplePos="0" relativeHeight="251659264" behindDoc="0" locked="0" layoutInCell="1" allowOverlap="1">
            <wp:simplePos x="0" y="0"/>
            <wp:positionH relativeFrom="margin">
              <wp:align>center</wp:align>
            </wp:positionH>
            <wp:positionV relativeFrom="page">
              <wp:posOffset>4097020</wp:posOffset>
            </wp:positionV>
            <wp:extent cx="3673475" cy="2201545"/>
            <wp:effectExtent l="0" t="0" r="3175" b="8255"/>
            <wp:wrapTopAndBottom/>
            <wp:docPr id="12" name="图片 12"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示&#10;&#10;AI 生成的内容可能不正确。"/>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73475" cy="2201545"/>
                    </a:xfrm>
                    <a:prstGeom prst="rect">
                      <a:avLst/>
                    </a:prstGeom>
                  </pic:spPr>
                </pic:pic>
              </a:graphicData>
            </a:graphic>
          </wp:anchor>
        </w:drawing>
      </w:r>
      <w:r>
        <w:rPr>
          <w:rFonts w:ascii="宋体" w:hAnsi="宋体" w:cs="宋体"/>
          <w:color w:val="000000"/>
          <w:sz w:val="24"/>
        </w:rPr>
        <w:t>由于</w:t>
      </w:r>
      <w:r>
        <w:rPr>
          <w:rFonts w:hint="eastAsia" w:ascii="宋体" w:hAnsi="宋体" w:cs="宋体"/>
          <w:color w:val="000000"/>
          <w:sz w:val="24"/>
        </w:rPr>
        <w:t>4K图像可以被划分成4~</w:t>
      </w:r>
      <w:r>
        <w:rPr>
          <w:rFonts w:ascii="宋体" w:hAnsi="宋体" w:cs="宋体"/>
          <w:color w:val="000000"/>
          <w:sz w:val="24"/>
        </w:rPr>
        <w:t>16</w:t>
      </w:r>
      <w:r>
        <w:rPr>
          <w:rFonts w:hint="eastAsia" w:ascii="宋体" w:hAnsi="宋体" w:cs="宋体"/>
          <w:color w:val="000000"/>
          <w:sz w:val="24"/>
        </w:rPr>
        <w:t>个子图像</w:t>
      </w:r>
      <w:r>
        <w:rPr>
          <w:rFonts w:ascii="宋体" w:hAnsi="宋体" w:cs="宋体"/>
          <w:color w:val="000000"/>
          <w:sz w:val="24"/>
        </w:rPr>
        <w:t>，每个子图像可独立编解码，所以一个</w:t>
      </w:r>
      <w:r>
        <w:rPr>
          <w:rFonts w:hint="eastAsia" w:ascii="宋体" w:hAnsi="宋体" w:cs="宋体"/>
          <w:color w:val="000000"/>
          <w:sz w:val="24"/>
        </w:rPr>
        <w:t>4K图像可并行熵解码的线程数为1</w:t>
      </w:r>
      <w:r>
        <w:rPr>
          <w:rFonts w:ascii="宋体" w:hAnsi="宋体" w:cs="宋体"/>
          <w:color w:val="000000"/>
          <w:sz w:val="24"/>
        </w:rPr>
        <w:t>6~64个。</w:t>
      </w:r>
    </w:p>
    <w:p w14:paraId="57450689">
      <w:pPr>
        <w:pStyle w:val="2"/>
        <w:ind w:left="0" w:leftChars="0" w:firstLine="0" w:firstLineChars="0"/>
      </w:pPr>
      <w:r>
        <w:drawing>
          <wp:anchor distT="0" distB="0" distL="114300" distR="114300" simplePos="0" relativeHeight="251660288" behindDoc="0" locked="0" layoutInCell="1" allowOverlap="1">
            <wp:simplePos x="0" y="0"/>
            <wp:positionH relativeFrom="margin">
              <wp:align>center</wp:align>
            </wp:positionH>
            <wp:positionV relativeFrom="page">
              <wp:posOffset>6484620</wp:posOffset>
            </wp:positionV>
            <wp:extent cx="4662170" cy="1830070"/>
            <wp:effectExtent l="0" t="0" r="5080" b="0"/>
            <wp:wrapTopAndBottom/>
            <wp:docPr id="5" name="图片 5"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示&#10;&#10;AI 生成的内容可能不正确。"/>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2170" cy="1830070"/>
                    </a:xfrm>
                    <a:prstGeom prst="rect">
                      <a:avLst/>
                    </a:prstGeom>
                  </pic:spPr>
                </pic:pic>
              </a:graphicData>
            </a:graphic>
          </wp:anchor>
        </w:drawing>
      </w:r>
    </w:p>
    <w:p w14:paraId="4C750E2A">
      <w:pPr>
        <w:pStyle w:val="4"/>
        <w:rPr>
          <w:sz w:val="24"/>
        </w:rPr>
      </w:pPr>
      <w:bookmarkStart w:id="1" w:name="_Ref198037364"/>
      <w:r>
        <w:t xml:space="preserve">图 </w:t>
      </w:r>
      <w:bookmarkEnd w:id="1"/>
      <w:r>
        <w:rPr>
          <w:rFonts w:hint="eastAsia"/>
        </w:rPr>
        <w:t>1</w:t>
      </w:r>
      <w:r>
        <w:t xml:space="preserve"> 图像、子图、宏块</w:t>
      </w:r>
      <w:r>
        <w:rPr>
          <w:rFonts w:hint="eastAsia"/>
        </w:rPr>
        <w:t>及码流结构示意图</w:t>
      </w:r>
    </w:p>
    <w:p w14:paraId="41AD304F">
      <w:pPr>
        <w:pStyle w:val="14"/>
        <w:numPr>
          <w:ilvl w:val="0"/>
          <w:numId w:val="2"/>
        </w:numPr>
        <w:spacing w:line="360" w:lineRule="auto"/>
        <w:rPr>
          <w:b/>
          <w:sz w:val="24"/>
        </w:rPr>
      </w:pPr>
      <w:r>
        <w:rPr>
          <w:rFonts w:hint="eastAsia"/>
          <w:b/>
          <w:sz w:val="24"/>
        </w:rPr>
        <w:t>自适应的变换核选择</w:t>
      </w:r>
    </w:p>
    <w:p w14:paraId="2C231261">
      <w:pPr>
        <w:ind w:firstLine="480" w:firstLineChars="200"/>
        <w:rPr>
          <w:rFonts w:ascii="宋体" w:hAnsi="宋体" w:cs="宋体"/>
          <w:color w:val="000000"/>
          <w:sz w:val="24"/>
        </w:rPr>
      </w:pPr>
      <w:r>
        <w:rPr>
          <w:rFonts w:hint="eastAsia" w:ascii="Times New Roman" w:hAnsi="Times New Roman" w:cs="Arial"/>
          <w:sz w:val="24"/>
        </w:rPr>
        <w:t>PLLC-P4</w:t>
      </w:r>
      <w:r>
        <w:rPr>
          <w:rFonts w:ascii="宋体" w:hAnsi="宋体" w:cs="宋体"/>
          <w:color w:val="000000"/>
          <w:sz w:val="24"/>
        </w:rPr>
        <w:t>计了一种隐式的自适应导出的变换方式。</w:t>
      </w:r>
      <w:r>
        <w:rPr>
          <w:rFonts w:hint="eastAsia" w:ascii="宋体" w:hAnsi="宋体" w:cs="宋体"/>
          <w:color w:val="000000"/>
          <w:sz w:val="24"/>
        </w:rPr>
        <w:t>对比传统的</w:t>
      </w:r>
      <w:r>
        <w:rPr>
          <w:rFonts w:ascii="宋体" w:hAnsi="宋体" w:cs="宋体"/>
          <w:color w:val="000000"/>
          <w:sz w:val="24"/>
        </w:rPr>
        <w:t>DST-7</w:t>
      </w:r>
      <w:r>
        <w:rPr>
          <w:rFonts w:hint="eastAsia" w:ascii="宋体" w:hAnsi="宋体" w:cs="宋体"/>
          <w:color w:val="000000"/>
          <w:sz w:val="24"/>
        </w:rPr>
        <w:t>，尽管其</w:t>
      </w:r>
      <w:r>
        <w:rPr>
          <w:rFonts w:ascii="宋体" w:hAnsi="宋体" w:cs="宋体"/>
          <w:color w:val="000000"/>
          <w:sz w:val="24"/>
        </w:rPr>
        <w:t>可以对递增分布的数据进行有效变换</w:t>
      </w:r>
      <w:r>
        <w:rPr>
          <w:rFonts w:hint="eastAsia" w:ascii="宋体" w:hAnsi="宋体" w:cs="宋体"/>
          <w:color w:val="000000"/>
          <w:sz w:val="24"/>
        </w:rPr>
        <w:t>，但显式</w:t>
      </w:r>
      <w:r>
        <w:rPr>
          <w:rFonts w:ascii="宋体" w:hAnsi="宋体" w:cs="宋体"/>
          <w:color w:val="000000"/>
          <w:sz w:val="24"/>
        </w:rPr>
        <w:t>传输变换核，需要一定的编解码复杂度，特别是编码端需要大量的RD决策计算</w:t>
      </w:r>
      <w:r>
        <w:rPr>
          <w:rFonts w:hint="eastAsia" w:ascii="宋体" w:hAnsi="宋体" w:cs="宋体"/>
          <w:color w:val="000000"/>
          <w:sz w:val="24"/>
        </w:rPr>
        <w:t>。</w:t>
      </w:r>
    </w:p>
    <w:p w14:paraId="6BA48ABA">
      <w:pPr>
        <w:spacing w:line="240" w:lineRule="auto"/>
        <w:ind w:firstLine="284"/>
        <w:rPr>
          <w:rFonts w:ascii="宋体" w:hAnsi="宋体" w:cs="宋体"/>
          <w:color w:val="000000"/>
          <w:sz w:val="24"/>
        </w:rPr>
      </w:pPr>
      <w:r>
        <w:rPr>
          <w:rFonts w:ascii="宋体" w:hAnsi="宋体" w:cs="宋体"/>
          <w:color w:val="000000"/>
          <w:sz w:val="24"/>
        </w:rPr>
        <w:t>在帧内预测时，由于和参考像素距离的远近，不同预测模式存在以下趋势：水平模式的残差在水平方向上递增；竖直模式的残差在竖直方向上递增；平面模式的残差在水平和竖直方向上递增。特殊的，CCLM由于线性模型参考的选点距离的远近，同样在水平和竖直方向上递增。在满足该趋势的情况下，其残差利用dst-7进行变换可以获得更高的压缩效率。</w:t>
      </w:r>
    </w:p>
    <w:p w14:paraId="226AEDB2">
      <w:pPr>
        <w:spacing w:line="240" w:lineRule="auto"/>
        <w:ind w:firstLine="284"/>
        <w:rPr>
          <w:rFonts w:ascii="宋体" w:hAnsi="宋体" w:cs="宋体"/>
          <w:color w:val="000000"/>
          <w:sz w:val="24"/>
        </w:rPr>
      </w:pPr>
      <w:r>
        <w:rPr>
          <w:rFonts w:hint="eastAsia" w:ascii="宋体" w:hAnsi="宋体" w:cs="宋体"/>
          <w:color w:val="000000"/>
          <w:sz w:val="24"/>
        </w:rPr>
        <w:t>基于预测模式的自适应变换核选择</w:t>
      </w:r>
      <w:r>
        <w:rPr>
          <w:rFonts w:ascii="宋体" w:hAnsi="宋体" w:cs="宋体"/>
          <w:color w:val="000000"/>
          <w:sz w:val="24"/>
        </w:rPr>
        <w:t>如</w:t>
      </w:r>
      <w:r>
        <w:rPr>
          <w:rFonts w:ascii="宋体" w:hAnsi="宋体" w:cs="宋体"/>
          <w:color w:val="000000"/>
          <w:sz w:val="24"/>
        </w:rPr>
        <w:fldChar w:fldCharType="begin"/>
      </w:r>
      <w:r>
        <w:rPr>
          <w:rFonts w:ascii="宋体" w:hAnsi="宋体" w:cs="宋体"/>
          <w:color w:val="000000"/>
          <w:sz w:val="24"/>
        </w:rPr>
        <w:instrText xml:space="preserve"> REF _Ref198039699 \h  \* MERGEFORMAT </w:instrText>
      </w:r>
      <w:r>
        <w:rPr>
          <w:rFonts w:ascii="宋体" w:hAnsi="宋体" w:cs="宋体"/>
          <w:color w:val="000000"/>
          <w:sz w:val="24"/>
        </w:rPr>
        <w:fldChar w:fldCharType="separate"/>
      </w:r>
      <w:r>
        <w:rPr>
          <w:rFonts w:ascii="宋体" w:hAnsi="宋体" w:cs="宋体"/>
          <w:color w:val="000000"/>
          <w:sz w:val="24"/>
        </w:rPr>
        <w:t>表 1</w:t>
      </w:r>
      <w:r>
        <w:rPr>
          <w:rFonts w:ascii="宋体" w:hAnsi="宋体" w:cs="宋体"/>
          <w:color w:val="000000"/>
          <w:sz w:val="24"/>
        </w:rPr>
        <w:fldChar w:fldCharType="end"/>
      </w:r>
      <w:r>
        <w:rPr>
          <w:rFonts w:hint="eastAsia" w:ascii="宋体" w:hAnsi="宋体" w:cs="宋体"/>
          <w:color w:val="000000"/>
          <w:sz w:val="24"/>
        </w:rPr>
        <w:t>所示，</w:t>
      </w:r>
      <w:r>
        <w:rPr>
          <w:rFonts w:ascii="宋体" w:hAnsi="宋体" w:cs="宋体"/>
          <w:color w:val="000000"/>
          <w:sz w:val="24"/>
        </w:rPr>
        <w:t xml:space="preserve"> </w:t>
      </w:r>
    </w:p>
    <w:p w14:paraId="7B2D7D55">
      <w:pPr>
        <w:pStyle w:val="4"/>
        <w:rPr>
          <w:rFonts w:ascii="宋体" w:hAnsi="宋体" w:cs="宋体"/>
          <w:color w:val="000000"/>
          <w:sz w:val="24"/>
        </w:rPr>
      </w:pPr>
      <w:bookmarkStart w:id="2" w:name="_Ref198039699"/>
      <w:r>
        <w:t xml:space="preserve">表 </w:t>
      </w:r>
      <w:r>
        <w:fldChar w:fldCharType="begin"/>
      </w:r>
      <w:r>
        <w:instrText xml:space="preserve"> SEQ 表 \* ARABIC </w:instrText>
      </w:r>
      <w:r>
        <w:fldChar w:fldCharType="separate"/>
      </w:r>
      <w:r>
        <w:t>1</w:t>
      </w:r>
      <w:r>
        <w:fldChar w:fldCharType="end"/>
      </w:r>
      <w:bookmarkEnd w:id="2"/>
      <w:r>
        <w:rPr>
          <w:rFonts w:hint="eastAsia" w:ascii="宋体" w:hAnsi="宋体" w:cs="宋体"/>
          <w:color w:val="000000"/>
          <w:sz w:val="24"/>
        </w:rPr>
        <w:t>：基于预测模式的自适应变换核</w:t>
      </w:r>
    </w:p>
    <w:tbl>
      <w:tblPr>
        <w:tblStyle w:val="7"/>
        <w:tblW w:w="7020" w:type="dxa"/>
        <w:jc w:val="center"/>
        <w:tblLayout w:type="autofit"/>
        <w:tblCellMar>
          <w:top w:w="0" w:type="dxa"/>
          <w:left w:w="0" w:type="dxa"/>
          <w:bottom w:w="0" w:type="dxa"/>
          <w:right w:w="0" w:type="dxa"/>
        </w:tblCellMar>
      </w:tblPr>
      <w:tblGrid>
        <w:gridCol w:w="2555"/>
        <w:gridCol w:w="2133"/>
        <w:gridCol w:w="2332"/>
      </w:tblGrid>
      <w:tr w14:paraId="626DA188">
        <w:tblPrEx>
          <w:tblCellMar>
            <w:top w:w="0" w:type="dxa"/>
            <w:left w:w="0" w:type="dxa"/>
            <w:bottom w:w="0" w:type="dxa"/>
            <w:right w:w="0" w:type="dxa"/>
          </w:tblCellMar>
        </w:tblPrEx>
        <w:trPr>
          <w:trHeight w:val="326" w:hRule="atLeast"/>
          <w:jc w:val="center"/>
        </w:trPr>
        <w:tc>
          <w:tcPr>
            <w:tcW w:w="2555" w:type="dxa"/>
            <w:tcBorders>
              <w:top w:val="single" w:color="7F0000" w:sz="4" w:space="0"/>
              <w:left w:val="single" w:color="7F0000" w:sz="4" w:space="0"/>
              <w:bottom w:val="single" w:color="7F0000" w:sz="4" w:space="0"/>
              <w:right w:val="nil"/>
            </w:tcBorders>
            <w:shd w:val="clear" w:color="auto" w:fill="7F0000"/>
            <w:tcMar>
              <w:top w:w="72" w:type="dxa"/>
              <w:left w:w="144" w:type="dxa"/>
              <w:bottom w:w="72" w:type="dxa"/>
              <w:right w:w="144" w:type="dxa"/>
            </w:tcMar>
          </w:tcPr>
          <w:p w14:paraId="1B2E2483">
            <w:pPr>
              <w:spacing w:line="240" w:lineRule="auto"/>
              <w:jc w:val="center"/>
              <w:rPr>
                <w:rFonts w:ascii="宋体" w:hAnsi="宋体" w:cs="宋体"/>
                <w:color w:val="000000"/>
              </w:rPr>
            </w:pPr>
            <w:r>
              <w:rPr>
                <w:rFonts w:hint="eastAsia" w:ascii="宋体" w:hAnsi="宋体" w:cs="宋体"/>
                <w:b/>
                <w:bCs/>
                <w:color w:val="000000"/>
              </w:rPr>
              <w:t>预测模式</w:t>
            </w:r>
          </w:p>
        </w:tc>
        <w:tc>
          <w:tcPr>
            <w:tcW w:w="2133" w:type="dxa"/>
            <w:tcBorders>
              <w:top w:val="single" w:color="7F0000" w:sz="4" w:space="0"/>
              <w:left w:val="nil"/>
              <w:bottom w:val="single" w:color="7F0000" w:sz="4" w:space="0"/>
              <w:right w:val="nil"/>
            </w:tcBorders>
            <w:shd w:val="clear" w:color="auto" w:fill="7F0000"/>
            <w:tcMar>
              <w:top w:w="72" w:type="dxa"/>
              <w:left w:w="144" w:type="dxa"/>
              <w:bottom w:w="72" w:type="dxa"/>
              <w:right w:w="144" w:type="dxa"/>
            </w:tcMar>
          </w:tcPr>
          <w:p w14:paraId="543B682A">
            <w:pPr>
              <w:spacing w:line="240" w:lineRule="auto"/>
              <w:jc w:val="center"/>
              <w:rPr>
                <w:rFonts w:ascii="宋体" w:hAnsi="宋体" w:cs="宋体"/>
                <w:color w:val="000000"/>
              </w:rPr>
            </w:pPr>
            <w:r>
              <w:rPr>
                <w:rFonts w:hint="eastAsia" w:ascii="宋体" w:hAnsi="宋体" w:cs="宋体"/>
                <w:b/>
                <w:bCs/>
                <w:color w:val="000000"/>
              </w:rPr>
              <w:t>水平变换</w:t>
            </w:r>
          </w:p>
        </w:tc>
        <w:tc>
          <w:tcPr>
            <w:tcW w:w="2332" w:type="dxa"/>
            <w:tcBorders>
              <w:top w:val="single" w:color="7F0000" w:sz="4" w:space="0"/>
              <w:left w:val="nil"/>
              <w:bottom w:val="single" w:color="7F0000" w:sz="4" w:space="0"/>
              <w:right w:val="single" w:color="7F0000" w:sz="4" w:space="0"/>
            </w:tcBorders>
            <w:shd w:val="clear" w:color="auto" w:fill="7F0000"/>
            <w:tcMar>
              <w:top w:w="72" w:type="dxa"/>
              <w:left w:w="144" w:type="dxa"/>
              <w:bottom w:w="72" w:type="dxa"/>
              <w:right w:w="144" w:type="dxa"/>
            </w:tcMar>
          </w:tcPr>
          <w:p w14:paraId="06180467">
            <w:pPr>
              <w:spacing w:line="240" w:lineRule="auto"/>
              <w:jc w:val="center"/>
              <w:rPr>
                <w:rFonts w:ascii="宋体" w:hAnsi="宋体" w:cs="宋体"/>
                <w:color w:val="000000"/>
              </w:rPr>
            </w:pPr>
            <w:r>
              <w:rPr>
                <w:rFonts w:hint="eastAsia" w:ascii="宋体" w:hAnsi="宋体" w:cs="宋体"/>
                <w:b/>
                <w:bCs/>
                <w:color w:val="000000"/>
              </w:rPr>
              <w:t>竖直变换</w:t>
            </w:r>
          </w:p>
        </w:tc>
      </w:tr>
      <w:tr w14:paraId="07DA190E">
        <w:tblPrEx>
          <w:tblCellMar>
            <w:top w:w="0" w:type="dxa"/>
            <w:left w:w="0" w:type="dxa"/>
            <w:bottom w:w="0" w:type="dxa"/>
            <w:right w:w="0" w:type="dxa"/>
          </w:tblCellMar>
        </w:tblPrEx>
        <w:trPr>
          <w:trHeight w:val="326" w:hRule="atLeast"/>
          <w:jc w:val="center"/>
        </w:trPr>
        <w:tc>
          <w:tcPr>
            <w:tcW w:w="2555" w:type="dxa"/>
            <w:tcBorders>
              <w:top w:val="single" w:color="7F0000" w:sz="4" w:space="0"/>
              <w:left w:val="single" w:color="7F0000" w:sz="4" w:space="0"/>
              <w:bottom w:val="single" w:color="7F0000" w:sz="4" w:space="0"/>
              <w:right w:val="nil"/>
            </w:tcBorders>
            <w:tcMar>
              <w:top w:w="72" w:type="dxa"/>
              <w:left w:w="144" w:type="dxa"/>
              <w:bottom w:w="72" w:type="dxa"/>
              <w:right w:w="144" w:type="dxa"/>
            </w:tcMar>
          </w:tcPr>
          <w:p w14:paraId="22DACE80">
            <w:pPr>
              <w:spacing w:line="240" w:lineRule="auto"/>
              <w:jc w:val="center"/>
              <w:rPr>
                <w:rFonts w:ascii="宋体" w:hAnsi="宋体" w:cs="宋体"/>
                <w:color w:val="000000"/>
              </w:rPr>
            </w:pPr>
            <w:r>
              <w:rPr>
                <w:rFonts w:hint="eastAsia" w:ascii="宋体" w:hAnsi="宋体" w:cs="宋体"/>
                <w:color w:val="000000"/>
              </w:rPr>
              <w:t>竖直（Ver）</w:t>
            </w:r>
          </w:p>
        </w:tc>
        <w:tc>
          <w:tcPr>
            <w:tcW w:w="2133" w:type="dxa"/>
            <w:tcBorders>
              <w:top w:val="single" w:color="7F0000" w:sz="4" w:space="0"/>
              <w:left w:val="nil"/>
              <w:bottom w:val="single" w:color="7F0000" w:sz="4" w:space="0"/>
              <w:right w:val="nil"/>
            </w:tcBorders>
            <w:tcMar>
              <w:top w:w="72" w:type="dxa"/>
              <w:left w:w="144" w:type="dxa"/>
              <w:bottom w:w="72" w:type="dxa"/>
              <w:right w:w="144" w:type="dxa"/>
            </w:tcMar>
          </w:tcPr>
          <w:p w14:paraId="3F30D426">
            <w:pPr>
              <w:spacing w:line="240" w:lineRule="auto"/>
              <w:jc w:val="center"/>
              <w:rPr>
                <w:rFonts w:ascii="宋体" w:hAnsi="宋体" w:cs="宋体"/>
                <w:color w:val="000000"/>
              </w:rPr>
            </w:pPr>
            <w:r>
              <w:rPr>
                <w:rFonts w:hint="eastAsia" w:ascii="宋体" w:hAnsi="宋体" w:cs="宋体"/>
                <w:color w:val="000000"/>
              </w:rPr>
              <w:t>DCT-2</w:t>
            </w:r>
          </w:p>
        </w:tc>
        <w:tc>
          <w:tcPr>
            <w:tcW w:w="2332" w:type="dxa"/>
            <w:tcBorders>
              <w:top w:val="single" w:color="7F0000" w:sz="4" w:space="0"/>
              <w:left w:val="nil"/>
              <w:bottom w:val="single" w:color="7F0000" w:sz="4" w:space="0"/>
              <w:right w:val="single" w:color="7F0000" w:sz="4" w:space="0"/>
            </w:tcBorders>
            <w:tcMar>
              <w:top w:w="72" w:type="dxa"/>
              <w:left w:w="144" w:type="dxa"/>
              <w:bottom w:w="72" w:type="dxa"/>
              <w:right w:w="144" w:type="dxa"/>
            </w:tcMar>
          </w:tcPr>
          <w:p w14:paraId="4F4792DD">
            <w:pPr>
              <w:spacing w:line="240" w:lineRule="auto"/>
              <w:jc w:val="center"/>
              <w:rPr>
                <w:rFonts w:ascii="宋体" w:hAnsi="宋体" w:cs="宋体"/>
                <w:color w:val="000000"/>
              </w:rPr>
            </w:pPr>
            <w:r>
              <w:rPr>
                <w:rFonts w:hint="eastAsia" w:ascii="宋体" w:hAnsi="宋体" w:cs="宋体"/>
                <w:color w:val="000000"/>
              </w:rPr>
              <w:t>DST-7</w:t>
            </w:r>
          </w:p>
        </w:tc>
      </w:tr>
      <w:tr w14:paraId="006C59E4">
        <w:tblPrEx>
          <w:tblCellMar>
            <w:top w:w="0" w:type="dxa"/>
            <w:left w:w="0" w:type="dxa"/>
            <w:bottom w:w="0" w:type="dxa"/>
            <w:right w:w="0" w:type="dxa"/>
          </w:tblCellMar>
        </w:tblPrEx>
        <w:trPr>
          <w:trHeight w:val="326" w:hRule="atLeast"/>
          <w:jc w:val="center"/>
        </w:trPr>
        <w:tc>
          <w:tcPr>
            <w:tcW w:w="2555" w:type="dxa"/>
            <w:tcBorders>
              <w:top w:val="single" w:color="7F0000" w:sz="4" w:space="0"/>
              <w:left w:val="single" w:color="7F0000" w:sz="4" w:space="0"/>
              <w:bottom w:val="single" w:color="7F0000" w:sz="4" w:space="0"/>
              <w:right w:val="nil"/>
            </w:tcBorders>
            <w:tcMar>
              <w:top w:w="72" w:type="dxa"/>
              <w:left w:w="144" w:type="dxa"/>
              <w:bottom w:w="72" w:type="dxa"/>
              <w:right w:w="144" w:type="dxa"/>
            </w:tcMar>
          </w:tcPr>
          <w:p w14:paraId="54FFEFB9">
            <w:pPr>
              <w:spacing w:line="240" w:lineRule="auto"/>
              <w:jc w:val="center"/>
              <w:rPr>
                <w:rFonts w:ascii="宋体" w:hAnsi="宋体" w:cs="宋体"/>
                <w:color w:val="000000"/>
              </w:rPr>
            </w:pPr>
            <w:r>
              <w:rPr>
                <w:rFonts w:hint="eastAsia" w:ascii="宋体" w:hAnsi="宋体" w:cs="宋体"/>
                <w:color w:val="000000"/>
              </w:rPr>
              <w:t>水平（Hor）</w:t>
            </w:r>
          </w:p>
        </w:tc>
        <w:tc>
          <w:tcPr>
            <w:tcW w:w="2133" w:type="dxa"/>
            <w:tcBorders>
              <w:top w:val="single" w:color="7F0000" w:sz="4" w:space="0"/>
              <w:left w:val="nil"/>
              <w:bottom w:val="single" w:color="7F0000" w:sz="4" w:space="0"/>
              <w:right w:val="nil"/>
            </w:tcBorders>
            <w:tcMar>
              <w:top w:w="72" w:type="dxa"/>
              <w:left w:w="144" w:type="dxa"/>
              <w:bottom w:w="72" w:type="dxa"/>
              <w:right w:w="144" w:type="dxa"/>
            </w:tcMar>
          </w:tcPr>
          <w:p w14:paraId="799C6A8A">
            <w:pPr>
              <w:spacing w:line="240" w:lineRule="auto"/>
              <w:jc w:val="center"/>
              <w:rPr>
                <w:rFonts w:ascii="宋体" w:hAnsi="宋体" w:cs="宋体"/>
                <w:color w:val="000000"/>
              </w:rPr>
            </w:pPr>
            <w:r>
              <w:rPr>
                <w:rFonts w:hint="eastAsia" w:ascii="宋体" w:hAnsi="宋体" w:cs="宋体"/>
                <w:color w:val="000000"/>
              </w:rPr>
              <w:t>DST-7</w:t>
            </w:r>
          </w:p>
        </w:tc>
        <w:tc>
          <w:tcPr>
            <w:tcW w:w="2332" w:type="dxa"/>
            <w:tcBorders>
              <w:top w:val="single" w:color="7F0000" w:sz="4" w:space="0"/>
              <w:left w:val="nil"/>
              <w:bottom w:val="single" w:color="7F0000" w:sz="4" w:space="0"/>
              <w:right w:val="single" w:color="7F0000" w:sz="4" w:space="0"/>
            </w:tcBorders>
            <w:tcMar>
              <w:top w:w="72" w:type="dxa"/>
              <w:left w:w="144" w:type="dxa"/>
              <w:bottom w:w="72" w:type="dxa"/>
              <w:right w:w="144" w:type="dxa"/>
            </w:tcMar>
          </w:tcPr>
          <w:p w14:paraId="00B02447">
            <w:pPr>
              <w:spacing w:line="240" w:lineRule="auto"/>
              <w:jc w:val="center"/>
              <w:rPr>
                <w:rFonts w:ascii="宋体" w:hAnsi="宋体" w:cs="宋体"/>
                <w:color w:val="000000"/>
              </w:rPr>
            </w:pPr>
            <w:r>
              <w:rPr>
                <w:rFonts w:hint="eastAsia" w:ascii="宋体" w:hAnsi="宋体" w:cs="宋体"/>
                <w:color w:val="000000"/>
              </w:rPr>
              <w:t>DCT-2</w:t>
            </w:r>
          </w:p>
        </w:tc>
      </w:tr>
      <w:tr w14:paraId="3524ED47">
        <w:tblPrEx>
          <w:tblCellMar>
            <w:top w:w="0" w:type="dxa"/>
            <w:left w:w="0" w:type="dxa"/>
            <w:bottom w:w="0" w:type="dxa"/>
            <w:right w:w="0" w:type="dxa"/>
          </w:tblCellMar>
        </w:tblPrEx>
        <w:trPr>
          <w:trHeight w:val="326" w:hRule="atLeast"/>
          <w:jc w:val="center"/>
        </w:trPr>
        <w:tc>
          <w:tcPr>
            <w:tcW w:w="2555" w:type="dxa"/>
            <w:tcBorders>
              <w:top w:val="single" w:color="7F0000" w:sz="4" w:space="0"/>
              <w:left w:val="single" w:color="7F0000" w:sz="4" w:space="0"/>
              <w:bottom w:val="single" w:color="7F0000" w:sz="4" w:space="0"/>
              <w:right w:val="nil"/>
            </w:tcBorders>
            <w:tcMar>
              <w:top w:w="72" w:type="dxa"/>
              <w:left w:w="144" w:type="dxa"/>
              <w:bottom w:w="72" w:type="dxa"/>
              <w:right w:w="144" w:type="dxa"/>
            </w:tcMar>
          </w:tcPr>
          <w:p w14:paraId="57C125BE">
            <w:pPr>
              <w:spacing w:line="240" w:lineRule="auto"/>
              <w:jc w:val="center"/>
              <w:rPr>
                <w:rFonts w:ascii="宋体" w:hAnsi="宋体" w:cs="宋体"/>
                <w:color w:val="000000"/>
              </w:rPr>
            </w:pPr>
            <w:r>
              <w:rPr>
                <w:rFonts w:hint="eastAsia" w:ascii="宋体" w:hAnsi="宋体" w:cs="宋体"/>
                <w:color w:val="000000"/>
              </w:rPr>
              <w:t>直流（DC）</w:t>
            </w:r>
          </w:p>
        </w:tc>
        <w:tc>
          <w:tcPr>
            <w:tcW w:w="2133" w:type="dxa"/>
            <w:tcBorders>
              <w:top w:val="single" w:color="7F0000" w:sz="4" w:space="0"/>
              <w:left w:val="nil"/>
              <w:bottom w:val="single" w:color="7F0000" w:sz="4" w:space="0"/>
              <w:right w:val="nil"/>
            </w:tcBorders>
            <w:tcMar>
              <w:top w:w="72" w:type="dxa"/>
              <w:left w:w="144" w:type="dxa"/>
              <w:bottom w:w="72" w:type="dxa"/>
              <w:right w:w="144" w:type="dxa"/>
            </w:tcMar>
          </w:tcPr>
          <w:p w14:paraId="27D1CBEB">
            <w:pPr>
              <w:spacing w:line="240" w:lineRule="auto"/>
              <w:jc w:val="center"/>
              <w:rPr>
                <w:rFonts w:ascii="宋体" w:hAnsi="宋体" w:cs="宋体"/>
                <w:color w:val="000000"/>
              </w:rPr>
            </w:pPr>
            <w:r>
              <w:rPr>
                <w:rFonts w:hint="eastAsia" w:ascii="宋体" w:hAnsi="宋体" w:cs="宋体"/>
                <w:color w:val="000000"/>
              </w:rPr>
              <w:t>DCT-2</w:t>
            </w:r>
          </w:p>
        </w:tc>
        <w:tc>
          <w:tcPr>
            <w:tcW w:w="2332" w:type="dxa"/>
            <w:tcBorders>
              <w:top w:val="single" w:color="7F0000" w:sz="4" w:space="0"/>
              <w:left w:val="nil"/>
              <w:bottom w:val="single" w:color="7F0000" w:sz="4" w:space="0"/>
              <w:right w:val="single" w:color="7F0000" w:sz="4" w:space="0"/>
            </w:tcBorders>
            <w:tcMar>
              <w:top w:w="72" w:type="dxa"/>
              <w:left w:w="144" w:type="dxa"/>
              <w:bottom w:w="72" w:type="dxa"/>
              <w:right w:w="144" w:type="dxa"/>
            </w:tcMar>
          </w:tcPr>
          <w:p w14:paraId="3688B217">
            <w:pPr>
              <w:spacing w:line="240" w:lineRule="auto"/>
              <w:jc w:val="center"/>
              <w:rPr>
                <w:rFonts w:ascii="宋体" w:hAnsi="宋体" w:cs="宋体"/>
                <w:color w:val="000000"/>
              </w:rPr>
            </w:pPr>
            <w:r>
              <w:rPr>
                <w:rFonts w:hint="eastAsia" w:ascii="宋体" w:hAnsi="宋体" w:cs="宋体"/>
                <w:color w:val="000000"/>
              </w:rPr>
              <w:t>DCT-2</w:t>
            </w:r>
          </w:p>
        </w:tc>
      </w:tr>
      <w:tr w14:paraId="5C36F800">
        <w:tblPrEx>
          <w:tblCellMar>
            <w:top w:w="0" w:type="dxa"/>
            <w:left w:w="0" w:type="dxa"/>
            <w:bottom w:w="0" w:type="dxa"/>
            <w:right w:w="0" w:type="dxa"/>
          </w:tblCellMar>
        </w:tblPrEx>
        <w:trPr>
          <w:trHeight w:val="326" w:hRule="atLeast"/>
          <w:jc w:val="center"/>
        </w:trPr>
        <w:tc>
          <w:tcPr>
            <w:tcW w:w="2555" w:type="dxa"/>
            <w:tcBorders>
              <w:top w:val="single" w:color="7F0000" w:sz="4" w:space="0"/>
              <w:left w:val="single" w:color="7F0000" w:sz="4" w:space="0"/>
              <w:bottom w:val="single" w:color="7F0000" w:sz="4" w:space="0"/>
              <w:right w:val="nil"/>
            </w:tcBorders>
            <w:tcMar>
              <w:top w:w="72" w:type="dxa"/>
              <w:left w:w="144" w:type="dxa"/>
              <w:bottom w:w="72" w:type="dxa"/>
              <w:right w:w="144" w:type="dxa"/>
            </w:tcMar>
          </w:tcPr>
          <w:p w14:paraId="15D37F6E">
            <w:pPr>
              <w:spacing w:line="240" w:lineRule="auto"/>
              <w:jc w:val="center"/>
              <w:rPr>
                <w:rFonts w:ascii="宋体" w:hAnsi="宋体" w:cs="宋体"/>
                <w:color w:val="000000"/>
              </w:rPr>
            </w:pPr>
            <w:r>
              <w:rPr>
                <w:rFonts w:hint="eastAsia" w:ascii="宋体" w:hAnsi="宋体" w:cs="宋体"/>
                <w:color w:val="000000"/>
              </w:rPr>
              <w:t>跨分量（CCLM）</w:t>
            </w:r>
          </w:p>
        </w:tc>
        <w:tc>
          <w:tcPr>
            <w:tcW w:w="2133" w:type="dxa"/>
            <w:tcBorders>
              <w:top w:val="single" w:color="7F0000" w:sz="4" w:space="0"/>
              <w:left w:val="nil"/>
              <w:bottom w:val="single" w:color="7F0000" w:sz="4" w:space="0"/>
              <w:right w:val="nil"/>
            </w:tcBorders>
            <w:tcMar>
              <w:top w:w="72" w:type="dxa"/>
              <w:left w:w="144" w:type="dxa"/>
              <w:bottom w:w="72" w:type="dxa"/>
              <w:right w:w="144" w:type="dxa"/>
            </w:tcMar>
          </w:tcPr>
          <w:p w14:paraId="6DCC60BF">
            <w:pPr>
              <w:spacing w:line="240" w:lineRule="auto"/>
              <w:jc w:val="center"/>
              <w:rPr>
                <w:rFonts w:ascii="宋体" w:hAnsi="宋体" w:cs="宋体"/>
                <w:color w:val="000000"/>
              </w:rPr>
            </w:pPr>
            <w:r>
              <w:rPr>
                <w:rFonts w:hint="eastAsia" w:ascii="宋体" w:hAnsi="宋体" w:cs="宋体"/>
                <w:color w:val="000000"/>
              </w:rPr>
              <w:t>DST-7</w:t>
            </w:r>
          </w:p>
        </w:tc>
        <w:tc>
          <w:tcPr>
            <w:tcW w:w="2332" w:type="dxa"/>
            <w:tcBorders>
              <w:top w:val="single" w:color="7F0000" w:sz="4" w:space="0"/>
              <w:left w:val="nil"/>
              <w:bottom w:val="single" w:color="7F0000" w:sz="4" w:space="0"/>
              <w:right w:val="single" w:color="7F0000" w:sz="4" w:space="0"/>
            </w:tcBorders>
            <w:tcMar>
              <w:top w:w="72" w:type="dxa"/>
              <w:left w:w="144" w:type="dxa"/>
              <w:bottom w:w="72" w:type="dxa"/>
              <w:right w:w="144" w:type="dxa"/>
            </w:tcMar>
          </w:tcPr>
          <w:p w14:paraId="54A86BA8">
            <w:pPr>
              <w:spacing w:line="240" w:lineRule="auto"/>
              <w:jc w:val="center"/>
              <w:rPr>
                <w:rFonts w:ascii="宋体" w:hAnsi="宋体" w:cs="宋体"/>
                <w:color w:val="000000"/>
              </w:rPr>
            </w:pPr>
            <w:r>
              <w:rPr>
                <w:rFonts w:hint="eastAsia" w:ascii="宋体" w:hAnsi="宋体" w:cs="宋体"/>
                <w:color w:val="000000"/>
              </w:rPr>
              <w:t>DST-7</w:t>
            </w:r>
          </w:p>
        </w:tc>
      </w:tr>
    </w:tbl>
    <w:p w14:paraId="73C92C59">
      <w:pPr>
        <w:pStyle w:val="2"/>
        <w:ind w:firstLine="480"/>
      </w:pPr>
      <w:r>
        <w:rPr>
          <w:rFonts w:hint="eastAsia" w:ascii="宋体" w:hAnsi="宋体" w:cs="宋体"/>
          <w:color w:val="000000"/>
          <w:sz w:val="24"/>
        </w:rPr>
        <w:t>考虑复杂度，本方案仅在长度为4的方向上使用D</w:t>
      </w:r>
      <w:r>
        <w:rPr>
          <w:rFonts w:ascii="宋体" w:hAnsi="宋体" w:cs="宋体"/>
          <w:color w:val="000000"/>
          <w:sz w:val="24"/>
        </w:rPr>
        <w:t>ST-7</w:t>
      </w:r>
      <w:r>
        <w:rPr>
          <w:rFonts w:hint="eastAsia" w:ascii="宋体" w:hAnsi="宋体" w:cs="宋体"/>
          <w:color w:val="000000"/>
          <w:sz w:val="24"/>
        </w:rPr>
        <w:t>或D</w:t>
      </w:r>
      <w:r>
        <w:rPr>
          <w:rFonts w:ascii="宋体" w:hAnsi="宋体" w:cs="宋体"/>
          <w:color w:val="000000"/>
          <w:sz w:val="24"/>
        </w:rPr>
        <w:t>CT-2,</w:t>
      </w:r>
      <w:r>
        <w:rPr>
          <w:rFonts w:hint="eastAsia" w:ascii="宋体" w:hAnsi="宋体" w:cs="宋体"/>
          <w:color w:val="000000"/>
          <w:sz w:val="24"/>
        </w:rPr>
        <w:t>长度为</w:t>
      </w:r>
      <w:r>
        <w:rPr>
          <w:rFonts w:ascii="宋体" w:hAnsi="宋体" w:cs="宋体"/>
          <w:color w:val="000000"/>
          <w:sz w:val="24"/>
        </w:rPr>
        <w:t>8</w:t>
      </w:r>
      <w:r>
        <w:rPr>
          <w:rFonts w:hint="eastAsia" w:ascii="宋体" w:hAnsi="宋体" w:cs="宋体"/>
          <w:color w:val="000000"/>
          <w:sz w:val="24"/>
        </w:rPr>
        <w:t>的方向上固定使用D</w:t>
      </w:r>
      <w:r>
        <w:rPr>
          <w:rFonts w:ascii="宋体" w:hAnsi="宋体" w:cs="宋体"/>
          <w:color w:val="000000"/>
          <w:sz w:val="24"/>
        </w:rPr>
        <w:t>CT-2</w:t>
      </w:r>
      <w:r>
        <w:rPr>
          <w:rFonts w:hint="eastAsia" w:ascii="宋体" w:hAnsi="宋体" w:cs="宋体"/>
          <w:color w:val="000000"/>
          <w:sz w:val="24"/>
        </w:rPr>
        <w:t>。</w:t>
      </w:r>
    </w:p>
    <w:p w14:paraId="07B7583C">
      <w:pPr>
        <w:pStyle w:val="14"/>
        <w:numPr>
          <w:ilvl w:val="0"/>
          <w:numId w:val="2"/>
        </w:numPr>
        <w:spacing w:line="360" w:lineRule="auto"/>
        <w:rPr>
          <w:b/>
          <w:sz w:val="24"/>
        </w:rPr>
      </w:pPr>
      <w:r>
        <w:rPr>
          <w:rFonts w:hint="eastAsia"/>
          <w:b/>
          <w:sz w:val="24"/>
        </w:rPr>
        <w:t>高频子带跳过算法</w:t>
      </w:r>
    </w:p>
    <w:p w14:paraId="4A8B5C25">
      <w:pPr>
        <w:ind w:firstLine="480" w:firstLineChars="200"/>
        <w:rPr>
          <w:rFonts w:ascii="Times New Roman" w:hAnsi="Times New Roman" w:cs="Arial"/>
          <w:sz w:val="24"/>
        </w:rPr>
      </w:pPr>
      <w:r>
        <w:rPr>
          <w:rFonts w:hint="eastAsia" w:ascii="Times New Roman" w:hAnsi="Times New Roman" w:cs="Arial"/>
          <w:sz w:val="24"/>
        </w:rPr>
        <w:t>在高频数据中，并不像低频那样具有更强的空间相关性，无需帧内预测，一个简单的2x2HAD变换具有有效的高频信号集中效果，有利于编码压缩。然而，仍有相当数量的高频数据不存在这样的相关性，对于这部分数据，变换跳过模式，使用原值直接进行编码反而是压缩率更高的方案。</w:t>
      </w:r>
    </w:p>
    <w:p w14:paraId="5F5AD985">
      <w:pPr>
        <w:ind w:firstLine="480" w:firstLineChars="200"/>
        <w:rPr>
          <w:rFonts w:ascii="Times New Roman" w:hAnsi="Times New Roman" w:cs="Arial"/>
          <w:sz w:val="24"/>
        </w:rPr>
      </w:pPr>
      <w:r>
        <w:rPr>
          <w:rFonts w:hint="eastAsia" w:ascii="Times New Roman" w:hAnsi="Times New Roman" w:cs="Arial"/>
          <w:sz w:val="24"/>
        </w:rPr>
        <w:t>因此，我们在编解码框架中设计增加了TransformSkipEnable标识位，用于指示该视频码流的高频是否采用变换跳过模式。如果采用，针对高频亮度分量的8x8非零块，使用一个TransformSkipFlag表示当前块是否使用变换跳过模式。当使用变换跳过时，8x8宏块内所有2x2块均不执行哈达玛变换。</w:t>
      </w:r>
    </w:p>
    <w:p w14:paraId="09CAAE19">
      <w:pPr>
        <w:ind w:firstLine="480" w:firstLineChars="200"/>
        <w:rPr>
          <w:rFonts w:ascii="Times New Roman" w:cs="Arial"/>
          <w:sz w:val="24"/>
        </w:rPr>
      </w:pPr>
      <w:r>
        <w:rPr>
          <w:rFonts w:hint="eastAsia" w:ascii="Times New Roman" w:hAnsi="Times New Roman" w:cs="Arial"/>
          <w:sz w:val="24"/>
        </w:rPr>
        <w:t>当使用变换跳过时，分组的方式与SUVC相同（即每个2x2块中的四个数按照光栅扫描序列为一组）；在使用变换时，分组方式调整为4x4块中4个相同频率的系数为1组（如DC系数为1组、4个AC1系数为1组…）</w:t>
      </w:r>
      <w:r>
        <w:rPr>
          <w:rFonts w:hint="eastAsia" w:ascii="Times New Roman" w:cs="Arial"/>
          <w:sz w:val="24"/>
        </w:rPr>
        <w:t>。</w:t>
      </w:r>
    </w:p>
    <w:p w14:paraId="3F85B645">
      <w:pPr>
        <w:pStyle w:val="9"/>
        <w:spacing w:line="360" w:lineRule="auto"/>
        <w:ind w:firstLine="480"/>
        <w:rPr>
          <w:rFonts w:ascii="黑体" w:hAnsi="黑体" w:eastAsia="黑体" w:cs="黑体"/>
          <w:bCs/>
          <w:sz w:val="24"/>
          <w:highlight w:val="none"/>
        </w:rPr>
      </w:pPr>
      <w:r>
        <w:rPr>
          <w:rFonts w:hint="eastAsia" w:ascii="黑体" w:hAnsi="黑体" w:eastAsia="黑体" w:cs="黑体"/>
          <w:bCs/>
          <w:sz w:val="24"/>
          <w:highlight w:val="none"/>
        </w:rPr>
        <w:t>三、主要试验或验证情况分析</w:t>
      </w:r>
    </w:p>
    <w:p w14:paraId="467F695D">
      <w:pPr>
        <w:snapToGrid w:val="0"/>
        <w:ind w:firstLine="420" w:firstLineChars="200"/>
        <w:rPr>
          <w:rFonts w:ascii="宋体"/>
          <w:kern w:val="0"/>
        </w:rPr>
      </w:pPr>
      <w:r>
        <w:t xml:space="preserve"> </w:t>
      </w:r>
      <w:r>
        <w:rPr>
          <w:rFonts w:ascii="Times New Roman" w:hAnsi="Times New Roman"/>
          <w:sz w:val="24"/>
        </w:rPr>
        <w:t>High-Fidelity Model</w:t>
      </w:r>
      <w:r>
        <w:rPr>
          <w:rFonts w:hint="eastAsia" w:ascii="Times New Roman" w:hAnsi="Times New Roman"/>
          <w:sz w:val="24"/>
        </w:rPr>
        <w:t xml:space="preserve"> (简称HFM)作为PLLC-P4视频标准评测新技术的基础软件平台。</w:t>
      </w:r>
    </w:p>
    <w:p w14:paraId="20FA0076">
      <w:pPr>
        <w:pStyle w:val="9"/>
        <w:spacing w:line="360" w:lineRule="auto"/>
        <w:ind w:firstLine="480"/>
        <w:rPr>
          <w:rFonts w:ascii="黑体" w:hAnsi="黑体" w:eastAsia="黑体" w:cs="黑体"/>
          <w:bCs/>
          <w:sz w:val="24"/>
          <w:szCs w:val="24"/>
        </w:rPr>
      </w:pPr>
      <w:r>
        <w:rPr>
          <w:rFonts w:hint="eastAsia" w:ascii="黑体" w:hAnsi="黑体" w:eastAsia="黑体" w:cs="黑体"/>
          <w:bCs/>
          <w:sz w:val="24"/>
          <w:szCs w:val="24"/>
        </w:rPr>
        <w:t>四、知识产权情况说明</w:t>
      </w:r>
    </w:p>
    <w:p w14:paraId="31F06305">
      <w:pPr>
        <w:ind w:firstLine="480" w:firstLineChars="200"/>
        <w:rPr>
          <w:rFonts w:ascii="宋体" w:hAnsi="宋体"/>
          <w:sz w:val="24"/>
          <w:szCs w:val="24"/>
        </w:rPr>
      </w:pPr>
      <w:r>
        <w:rPr>
          <w:rFonts w:hint="eastAsia" w:ascii="宋体" w:hAnsi="宋体"/>
          <w:sz w:val="24"/>
          <w:szCs w:val="24"/>
        </w:rPr>
        <w:t>工作组根据《信息技术 感知无损压缩 第4部分：专业制作图像》征求意见稿，对在我国获得授权的专利或者已经公开的专利申请，进行了“拉网式”检索和分析，以确定</w:t>
      </w:r>
      <w:r>
        <w:rPr>
          <w:rFonts w:ascii="宋体" w:hAnsi="宋体"/>
          <w:sz w:val="24"/>
          <w:szCs w:val="24"/>
        </w:rPr>
        <w:t>PLLC</w:t>
      </w:r>
      <w:r>
        <w:rPr>
          <w:rFonts w:hint="eastAsia" w:ascii="宋体" w:hAnsi="宋体"/>
          <w:sz w:val="24"/>
          <w:szCs w:val="24"/>
        </w:rPr>
        <w:t>-P4视频标准是否存在知识产权风险。</w:t>
      </w:r>
    </w:p>
    <w:p w14:paraId="6E137A79">
      <w:pPr>
        <w:ind w:firstLine="480" w:firstLineChars="200"/>
        <w:rPr>
          <w:rFonts w:ascii="宋体" w:hAnsi="宋体"/>
          <w:sz w:val="24"/>
          <w:szCs w:val="24"/>
        </w:rPr>
      </w:pPr>
      <w:r>
        <w:rPr>
          <w:rFonts w:hint="eastAsia" w:ascii="宋体" w:hAnsi="宋体"/>
          <w:sz w:val="24"/>
          <w:szCs w:val="24"/>
        </w:rPr>
        <w:t>根据分析，</w:t>
      </w:r>
      <w:r>
        <w:rPr>
          <w:rFonts w:ascii="宋体" w:hAnsi="宋体"/>
          <w:sz w:val="24"/>
          <w:szCs w:val="24"/>
        </w:rPr>
        <w:t>PLLC</w:t>
      </w:r>
      <w:r>
        <w:rPr>
          <w:rFonts w:hint="eastAsia" w:ascii="宋体" w:hAnsi="宋体"/>
          <w:sz w:val="24"/>
          <w:szCs w:val="24"/>
        </w:rPr>
        <w:t>-P4视频相关的中国专利可分为三大类：</w:t>
      </w:r>
    </w:p>
    <w:p w14:paraId="7C4E74FB">
      <w:pPr>
        <w:ind w:firstLine="480" w:firstLineChars="200"/>
        <w:rPr>
          <w:rFonts w:ascii="宋体" w:hAnsi="宋体"/>
          <w:sz w:val="24"/>
          <w:szCs w:val="24"/>
        </w:rPr>
      </w:pPr>
      <w:r>
        <w:rPr>
          <w:rFonts w:ascii="宋体" w:hAnsi="宋体"/>
          <w:sz w:val="24"/>
          <w:szCs w:val="24"/>
        </w:rPr>
        <w:t>(1) AVS</w:t>
      </w:r>
      <w:r>
        <w:rPr>
          <w:rFonts w:hint="eastAsia" w:ascii="宋体" w:hAnsi="宋体"/>
          <w:sz w:val="24"/>
          <w:szCs w:val="24"/>
        </w:rPr>
        <w:t>工作组中技术提案单位或工作组成员正在申请或拥有的自主专利。根据目前提案单位及工作组成员单位披露情况，已知</w:t>
      </w:r>
      <w:r>
        <w:rPr>
          <w:rFonts w:hint="eastAsia" w:ascii="宋体" w:hAnsi="宋体"/>
          <w:sz w:val="24"/>
          <w:szCs w:val="24"/>
          <w:highlight w:val="none"/>
        </w:rPr>
        <w:t>的专利数量为34项</w:t>
      </w:r>
      <w:r>
        <w:rPr>
          <w:rFonts w:hint="eastAsia" w:ascii="宋体" w:hAnsi="宋体"/>
          <w:sz w:val="24"/>
          <w:szCs w:val="24"/>
        </w:rPr>
        <w:t>。这些专利或潜在专利的权利人均承诺同意将专利纳入“</w:t>
      </w:r>
      <w:r>
        <w:rPr>
          <w:rFonts w:ascii="宋体" w:hAnsi="宋体"/>
          <w:sz w:val="24"/>
          <w:szCs w:val="24"/>
        </w:rPr>
        <w:t>AVS</w:t>
      </w:r>
      <w:r>
        <w:rPr>
          <w:rFonts w:hint="eastAsia" w:ascii="宋体" w:hAnsi="宋体"/>
          <w:sz w:val="24"/>
          <w:szCs w:val="24"/>
        </w:rPr>
        <w:t>专利池”统一进行实施许可，因此这些专利将是未来</w:t>
      </w:r>
      <w:r>
        <w:rPr>
          <w:rFonts w:ascii="宋体" w:hAnsi="宋体"/>
          <w:sz w:val="24"/>
          <w:szCs w:val="24"/>
        </w:rPr>
        <w:t>PLLC</w:t>
      </w:r>
      <w:r>
        <w:rPr>
          <w:rFonts w:hint="eastAsia" w:ascii="宋体" w:hAnsi="宋体"/>
          <w:sz w:val="24"/>
          <w:szCs w:val="24"/>
        </w:rPr>
        <w:t>-P4视频编码技术专利池的主要组成部分；</w:t>
      </w:r>
    </w:p>
    <w:p w14:paraId="68EAB94B">
      <w:pPr>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利用各技术类别的关键词组成的21个检索式对中国专利库进行检索得到的专利。从数百项检索得到的专利列表中挑拣出与视频编解码相关的专利共计45项，逐项分析表明本部分的技术与其中的17项专利有一定的技术关联性，但经仔细对比后认为，</w:t>
      </w:r>
      <w:r>
        <w:rPr>
          <w:rFonts w:ascii="宋体" w:hAnsi="宋体"/>
          <w:sz w:val="24"/>
          <w:szCs w:val="24"/>
        </w:rPr>
        <w:t>PLLC</w:t>
      </w:r>
      <w:r>
        <w:rPr>
          <w:rFonts w:hint="eastAsia" w:ascii="宋体" w:hAnsi="宋体"/>
          <w:sz w:val="24"/>
          <w:szCs w:val="24"/>
        </w:rPr>
        <w:t>-P4视频标准并未侵犯提案单位或工作组成员单位之外的其它专利权人的专利；</w:t>
      </w:r>
    </w:p>
    <w:p w14:paraId="0FD352AF">
      <w:pPr>
        <w:ind w:firstLine="480" w:firstLineChars="200"/>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 PLLC</w:t>
      </w:r>
      <w:r>
        <w:rPr>
          <w:rFonts w:hint="eastAsia" w:ascii="宋体" w:hAnsi="宋体"/>
          <w:sz w:val="24"/>
          <w:szCs w:val="24"/>
        </w:rPr>
        <w:t>-P4视频标准使用了部分已过专利保护期限的专利技术，成为公开技术。</w:t>
      </w:r>
    </w:p>
    <w:p w14:paraId="5C85EE86">
      <w:pPr>
        <w:ind w:firstLine="480" w:firstLineChars="200"/>
        <w:rPr>
          <w:rFonts w:ascii="宋体" w:hAnsi="宋体"/>
          <w:sz w:val="24"/>
          <w:szCs w:val="24"/>
        </w:rPr>
      </w:pPr>
      <w:r>
        <w:rPr>
          <w:rFonts w:hint="eastAsia" w:ascii="宋体" w:hAnsi="宋体"/>
          <w:sz w:val="24"/>
          <w:szCs w:val="24"/>
        </w:rPr>
        <w:t>通过对国际、国内相关专利的认真仔细的调查分析，我们认为中国研究机构和企业的自主专利技术、愿意加入“</w:t>
      </w:r>
      <w:r>
        <w:rPr>
          <w:rFonts w:ascii="宋体" w:hAnsi="宋体"/>
          <w:sz w:val="24"/>
          <w:szCs w:val="24"/>
        </w:rPr>
        <w:t>AVS</w:t>
      </w:r>
      <w:r>
        <w:rPr>
          <w:rFonts w:hint="eastAsia" w:ascii="宋体" w:hAnsi="宋体"/>
          <w:sz w:val="24"/>
          <w:szCs w:val="24"/>
        </w:rPr>
        <w:t>专利池”统一进行实施许可的国外企业专利技术、以及公开技术构成了</w:t>
      </w:r>
      <w:r>
        <w:rPr>
          <w:rFonts w:ascii="宋体" w:hAnsi="宋体"/>
          <w:sz w:val="24"/>
          <w:szCs w:val="24"/>
        </w:rPr>
        <w:t>PLLC</w:t>
      </w:r>
      <w:r>
        <w:rPr>
          <w:rFonts w:hint="eastAsia" w:ascii="宋体" w:hAnsi="宋体"/>
          <w:sz w:val="24"/>
          <w:szCs w:val="24"/>
        </w:rPr>
        <w:t>-P4视频标准的专利主体。</w:t>
      </w:r>
      <w:r>
        <w:rPr>
          <w:rFonts w:ascii="宋体" w:hAnsi="宋体"/>
          <w:sz w:val="24"/>
          <w:szCs w:val="24"/>
        </w:rPr>
        <w:t>PLLC</w:t>
      </w:r>
      <w:r>
        <w:rPr>
          <w:rFonts w:hint="eastAsia" w:ascii="宋体" w:hAnsi="宋体"/>
          <w:sz w:val="24"/>
          <w:szCs w:val="24"/>
        </w:rPr>
        <w:t>-P4视频标准作为国家标准，凭借自主技术的明显优势地位和公平合理的“</w:t>
      </w:r>
      <w:r>
        <w:rPr>
          <w:rFonts w:ascii="宋体" w:hAnsi="宋体"/>
          <w:sz w:val="24"/>
          <w:szCs w:val="24"/>
        </w:rPr>
        <w:t>AVS</w:t>
      </w:r>
      <w:r>
        <w:rPr>
          <w:rFonts w:hint="eastAsia" w:ascii="宋体" w:hAnsi="宋体"/>
          <w:sz w:val="24"/>
          <w:szCs w:val="24"/>
        </w:rPr>
        <w:t>专利池”统一许可模式，在知识产权方面具有明显的技术主动权，能够妥善解决知识产权问题，不存在明显的知识产权侵权风险。在国际范围内，</w:t>
      </w:r>
      <w:r>
        <w:rPr>
          <w:rFonts w:ascii="宋体" w:hAnsi="宋体"/>
          <w:sz w:val="24"/>
          <w:szCs w:val="24"/>
        </w:rPr>
        <w:t>AVS</w:t>
      </w:r>
      <w:r>
        <w:rPr>
          <w:rFonts w:hint="eastAsia" w:ascii="宋体" w:hAnsi="宋体"/>
          <w:sz w:val="24"/>
          <w:szCs w:val="24"/>
        </w:rPr>
        <w:t>自主技术优势也很明显，而国际上本领域的重要跨国企业已大量参加</w:t>
      </w:r>
      <w:r>
        <w:rPr>
          <w:rFonts w:ascii="宋体" w:hAnsi="宋体"/>
          <w:sz w:val="24"/>
          <w:szCs w:val="24"/>
        </w:rPr>
        <w:t>AVS</w:t>
      </w:r>
      <w:r>
        <w:rPr>
          <w:rFonts w:hint="eastAsia" w:ascii="宋体" w:hAnsi="宋体"/>
          <w:sz w:val="24"/>
          <w:szCs w:val="24"/>
        </w:rPr>
        <w:t>工作组，他们拥有的专利技术也愿意加入“</w:t>
      </w:r>
      <w:r>
        <w:rPr>
          <w:rFonts w:ascii="宋体" w:hAnsi="宋体"/>
          <w:sz w:val="24"/>
          <w:szCs w:val="24"/>
        </w:rPr>
        <w:t>AVS</w:t>
      </w:r>
      <w:r>
        <w:rPr>
          <w:rFonts w:hint="eastAsia" w:ascii="宋体" w:hAnsi="宋体"/>
          <w:sz w:val="24"/>
          <w:szCs w:val="24"/>
        </w:rPr>
        <w:t>专利池”进行许可，因此</w:t>
      </w:r>
      <w:r>
        <w:rPr>
          <w:rFonts w:ascii="宋体" w:hAnsi="宋体"/>
          <w:sz w:val="24"/>
          <w:szCs w:val="24"/>
        </w:rPr>
        <w:t>PLLC</w:t>
      </w:r>
      <w:r>
        <w:rPr>
          <w:rFonts w:hint="eastAsia" w:ascii="宋体" w:hAnsi="宋体"/>
          <w:sz w:val="24"/>
          <w:szCs w:val="24"/>
        </w:rPr>
        <w:t>-P4视频标准具有在国际范围内推广应用的良好基础。</w:t>
      </w:r>
    </w:p>
    <w:p w14:paraId="191C79E0">
      <w:pPr>
        <w:pStyle w:val="9"/>
        <w:spacing w:line="360" w:lineRule="auto"/>
        <w:ind w:firstLine="480"/>
        <w:rPr>
          <w:rFonts w:ascii="黑体" w:hAnsi="黑体" w:eastAsia="黑体" w:cs="黑体"/>
          <w:bCs/>
          <w:sz w:val="24"/>
          <w:szCs w:val="24"/>
        </w:rPr>
      </w:pPr>
      <w:r>
        <w:rPr>
          <w:rFonts w:hint="eastAsia" w:ascii="黑体" w:hAnsi="黑体" w:eastAsia="黑体" w:cs="黑体"/>
          <w:bCs/>
          <w:sz w:val="24"/>
          <w:szCs w:val="24"/>
        </w:rPr>
        <w:t>五、</w:t>
      </w:r>
      <w:r>
        <w:rPr>
          <w:rFonts w:hint="eastAsia" w:ascii="黑体" w:hAnsi="黑体" w:eastAsia="黑体" w:cs="黑体"/>
          <w:bCs/>
          <w:color w:val="000000"/>
          <w:sz w:val="24"/>
          <w:szCs w:val="24"/>
        </w:rPr>
        <w:t>产业化情况、推广应用论证和预期达到的经济效果</w:t>
      </w:r>
    </w:p>
    <w:p w14:paraId="747C4F21">
      <w:pPr>
        <w:pStyle w:val="9"/>
        <w:spacing w:line="360" w:lineRule="auto"/>
        <w:ind w:firstLine="480"/>
        <w:rPr>
          <w:rFonts w:hAnsi="宋体"/>
          <w:sz w:val="24"/>
          <w:szCs w:val="22"/>
        </w:rPr>
      </w:pPr>
      <w:r>
        <w:rPr>
          <w:rFonts w:hint="eastAsia" w:hAnsi="宋体"/>
          <w:sz w:val="24"/>
          <w:szCs w:val="22"/>
        </w:rPr>
        <w:t>本标准旨在用来定义和/或设计适用于专业制作图像领域中超高清视频制作的感知无损压缩视频系统的目的。</w:t>
      </w:r>
    </w:p>
    <w:p w14:paraId="5FF48D23">
      <w:pPr>
        <w:pStyle w:val="9"/>
        <w:spacing w:line="360" w:lineRule="auto"/>
        <w:ind w:firstLine="480"/>
        <w:rPr>
          <w:rFonts w:hAnsi="宋体"/>
          <w:sz w:val="24"/>
          <w:szCs w:val="22"/>
        </w:rPr>
      </w:pPr>
      <w:r>
        <w:rPr>
          <w:rFonts w:hint="eastAsia" w:hAnsi="宋体"/>
          <w:sz w:val="24"/>
          <w:szCs w:val="22"/>
        </w:rPr>
        <w:t>本部分定义和使用感知无损压缩（PLLC-P4）技术标准的主要目的是：面向我国的超高清信息产业需求，联合国内企业和科研机构，制（修）订超高清视频无损压缩、解压缩、处理和表示等共性技术标准，为专业制作图像领域内超高清数字音视频设备与系统提供高效经济的编解码技术，服务于高分辨率数字传输系统、超高清内容生产编辑、短距离高速视频通信等重大信息产业应用。</w:t>
      </w:r>
    </w:p>
    <w:p w14:paraId="43D76423">
      <w:pPr>
        <w:pStyle w:val="9"/>
        <w:spacing w:line="360" w:lineRule="auto"/>
        <w:ind w:firstLine="480"/>
        <w:rPr>
          <w:rFonts w:ascii="黑体" w:hAnsi="黑体" w:eastAsia="黑体" w:cs="黑体"/>
          <w:bCs/>
          <w:sz w:val="24"/>
          <w:szCs w:val="24"/>
        </w:rPr>
      </w:pPr>
      <w:r>
        <w:rPr>
          <w:rFonts w:hint="eastAsia" w:ascii="黑体" w:hAnsi="黑体" w:eastAsia="黑体" w:cs="黑体"/>
          <w:bCs/>
          <w:sz w:val="24"/>
          <w:szCs w:val="24"/>
        </w:rPr>
        <w:t>六、采用国际标准和国外先进标准情况</w:t>
      </w:r>
    </w:p>
    <w:p w14:paraId="39296630">
      <w:pPr>
        <w:pStyle w:val="9"/>
        <w:spacing w:line="360" w:lineRule="auto"/>
        <w:ind w:firstLine="480"/>
        <w:rPr>
          <w:sz w:val="24"/>
        </w:rPr>
      </w:pPr>
      <w:r>
        <w:rPr>
          <w:rFonts w:hint="eastAsia"/>
          <w:sz w:val="24"/>
        </w:rPr>
        <w:t>本部分未采用对应国际标准，而是采用自主制定的技术路线，其基本原因在于有关国际标准背后昂贵的专利费。但是自2002年AVS工作组成立以来，工作组的核心成员队伍相对稳定，在视频编码技术领域已有十余年的积累，逐步掌握了先进的视频编码理论与技术创新方法；同时，在本部分的制定过程中，不断吸收本领域主流国际企业以及国内更多研究机构成为会员单位，积极参与PLLC标准的制定，吸纳了一批国际先进技术。</w:t>
      </w:r>
    </w:p>
    <w:p w14:paraId="04420041">
      <w:pPr>
        <w:pStyle w:val="9"/>
        <w:spacing w:line="360" w:lineRule="auto"/>
        <w:ind w:firstLine="480"/>
        <w:rPr>
          <w:rFonts w:ascii="楷体_GB2312" w:hAnsi="宋体" w:eastAsia="楷体_GB2312"/>
          <w:szCs w:val="21"/>
        </w:rPr>
      </w:pPr>
      <w:r>
        <w:rPr>
          <w:rFonts w:hint="eastAsia"/>
          <w:sz w:val="24"/>
        </w:rPr>
        <w:tab/>
      </w:r>
      <w:r>
        <w:rPr>
          <w:rFonts w:hint="eastAsia"/>
          <w:sz w:val="24"/>
        </w:rPr>
        <w:t>本部分对于高清、超高清数字电视广播应用，编码效率与目前国际先进的标准JPEG-XS主观重建相同的情况下，编码码率显著降低。</w:t>
      </w:r>
    </w:p>
    <w:p w14:paraId="731075A8">
      <w:pPr>
        <w:pStyle w:val="9"/>
        <w:spacing w:line="360" w:lineRule="auto"/>
        <w:ind w:firstLine="480"/>
        <w:rPr>
          <w:rFonts w:ascii="黑体" w:hAnsi="黑体" w:eastAsia="黑体" w:cs="黑体"/>
          <w:bCs/>
          <w:sz w:val="24"/>
          <w:szCs w:val="24"/>
        </w:rPr>
      </w:pPr>
      <w:r>
        <w:rPr>
          <w:rFonts w:hint="eastAsia" w:ascii="黑体" w:hAnsi="黑体" w:eastAsia="黑体" w:cs="黑体"/>
          <w:bCs/>
          <w:sz w:val="24"/>
          <w:szCs w:val="24"/>
        </w:rPr>
        <w:t>七、与现行相关法律、法规、规章及相关标准的协调性</w:t>
      </w:r>
    </w:p>
    <w:p w14:paraId="597EA923">
      <w:pPr>
        <w:spacing w:line="360" w:lineRule="auto"/>
        <w:ind w:firstLine="480" w:firstLineChars="200"/>
        <w:rPr>
          <w:rFonts w:ascii="宋体" w:hAnsi="宋体"/>
          <w:sz w:val="24"/>
        </w:rPr>
      </w:pPr>
      <w:r>
        <w:rPr>
          <w:rFonts w:hint="eastAsia" w:ascii="宋体" w:hAnsi="宋体"/>
          <w:sz w:val="24"/>
        </w:rPr>
        <w:t>本标准符合相关的现行法律、法规和规章。</w:t>
      </w:r>
    </w:p>
    <w:p w14:paraId="6B2B8E56">
      <w:pPr>
        <w:pStyle w:val="9"/>
        <w:spacing w:line="360" w:lineRule="auto"/>
        <w:ind w:firstLine="480"/>
        <w:rPr>
          <w:rFonts w:ascii="黑体" w:hAnsi="黑体" w:eastAsia="黑体" w:cs="黑体"/>
          <w:bCs/>
          <w:sz w:val="24"/>
          <w:szCs w:val="24"/>
        </w:rPr>
      </w:pPr>
      <w:r>
        <w:rPr>
          <w:rFonts w:hint="eastAsia" w:ascii="黑体" w:hAnsi="黑体" w:eastAsia="黑体" w:cs="黑体"/>
          <w:bCs/>
          <w:sz w:val="24"/>
          <w:szCs w:val="24"/>
        </w:rPr>
        <w:t>八、重大分歧意见的处理经过和依据</w:t>
      </w:r>
    </w:p>
    <w:p w14:paraId="0100654B">
      <w:pPr>
        <w:pStyle w:val="9"/>
        <w:spacing w:line="360" w:lineRule="auto"/>
        <w:ind w:firstLine="480"/>
        <w:rPr>
          <w:rFonts w:ascii="Times New Roman" w:hAnsi="宋体"/>
          <w:kern w:val="2"/>
          <w:sz w:val="24"/>
          <w:szCs w:val="24"/>
        </w:rPr>
      </w:pPr>
      <w:r>
        <w:rPr>
          <w:rFonts w:hint="eastAsia" w:ascii="Times New Roman" w:hAnsi="宋体"/>
          <w:kern w:val="2"/>
          <w:sz w:val="24"/>
          <w:szCs w:val="24"/>
        </w:rPr>
        <w:t>无</w:t>
      </w:r>
      <w:r>
        <w:rPr>
          <w:rFonts w:ascii="Times New Roman" w:hAnsi="宋体"/>
          <w:kern w:val="2"/>
          <w:sz w:val="24"/>
          <w:szCs w:val="24"/>
        </w:rPr>
        <w:t>。</w:t>
      </w:r>
    </w:p>
    <w:p w14:paraId="073A9F07">
      <w:pPr>
        <w:pStyle w:val="9"/>
        <w:spacing w:line="360" w:lineRule="auto"/>
        <w:ind w:firstLine="480"/>
        <w:rPr>
          <w:rFonts w:ascii="黑体" w:hAnsi="黑体" w:eastAsia="黑体" w:cs="黑体"/>
          <w:bCs/>
          <w:sz w:val="24"/>
          <w:szCs w:val="24"/>
        </w:rPr>
      </w:pPr>
      <w:r>
        <w:rPr>
          <w:rFonts w:hint="eastAsia" w:ascii="黑体" w:hAnsi="黑体" w:eastAsia="黑体" w:cs="黑体"/>
          <w:bCs/>
          <w:sz w:val="24"/>
          <w:szCs w:val="24"/>
        </w:rPr>
        <w:t>九、标准性质的建议</w:t>
      </w:r>
    </w:p>
    <w:p w14:paraId="6EF38C89">
      <w:pPr>
        <w:pStyle w:val="9"/>
        <w:spacing w:line="360" w:lineRule="auto"/>
        <w:rPr>
          <w:rFonts w:ascii="楷体_GB2312" w:eastAsia="楷体_GB2312"/>
          <w:szCs w:val="21"/>
        </w:rPr>
      </w:pPr>
      <w:r>
        <w:rPr>
          <w:rFonts w:ascii="Times New Roman"/>
          <w:color w:val="000000"/>
          <w:szCs w:val="21"/>
        </w:rPr>
        <w:t>建议发布为推荐性标准。</w:t>
      </w:r>
    </w:p>
    <w:p w14:paraId="10634392">
      <w:pPr>
        <w:pStyle w:val="9"/>
        <w:spacing w:line="360" w:lineRule="auto"/>
        <w:ind w:firstLine="480"/>
        <w:rPr>
          <w:rFonts w:ascii="黑体" w:hAnsi="黑体" w:eastAsia="黑体" w:cs="黑体"/>
          <w:bCs/>
          <w:sz w:val="24"/>
          <w:szCs w:val="24"/>
        </w:rPr>
      </w:pPr>
      <w:r>
        <w:rPr>
          <w:rFonts w:hint="eastAsia" w:ascii="黑体" w:hAnsi="黑体" w:eastAsia="黑体" w:cs="黑体"/>
          <w:bCs/>
          <w:sz w:val="24"/>
          <w:szCs w:val="24"/>
        </w:rPr>
        <w:t>十、贯彻标准的要求和措施建议</w:t>
      </w:r>
    </w:p>
    <w:p w14:paraId="4B23E12D">
      <w:pPr>
        <w:spacing w:line="360" w:lineRule="auto"/>
        <w:ind w:firstLine="480" w:firstLineChars="200"/>
        <w:rPr>
          <w:rFonts w:ascii="宋体" w:hAnsi="宋体"/>
          <w:sz w:val="24"/>
        </w:rPr>
      </w:pPr>
      <w:r>
        <w:rPr>
          <w:rFonts w:hint="eastAsia" w:ascii="宋体" w:hAnsi="宋体"/>
          <w:sz w:val="24"/>
        </w:rPr>
        <w:t>应通过各类国家级科技计划和产业化项目资助，大力开展基于PLLC-P4视频编码标准的8K及以上超高清视频高速传输端口的芯片和系统开发、试验示范系统建设、直至大规模商用，扶持PLLC-P4视频信号传输产业链的形成。</w:t>
      </w:r>
    </w:p>
    <w:p w14:paraId="3A824A79">
      <w:pPr>
        <w:spacing w:line="360" w:lineRule="auto"/>
        <w:ind w:firstLine="480" w:firstLineChars="200"/>
        <w:rPr>
          <w:rFonts w:ascii="宋体" w:hAnsi="宋体"/>
          <w:sz w:val="24"/>
        </w:rPr>
      </w:pPr>
      <w:r>
        <w:rPr>
          <w:rFonts w:hint="eastAsia" w:ascii="宋体" w:hAnsi="宋体"/>
          <w:sz w:val="24"/>
        </w:rPr>
        <w:t>同时应通过一定技术手段，要求专业视频制作领域推广使用PLLC-P4视频编码标准，尽快取代国际垄断的ProRes、XAVC、JPEG-XS等压缩技术，避免国际技术的渗透，而造成事实标准的被动局面，提高媒体生产链路的安全性、自主性。</w:t>
      </w:r>
    </w:p>
    <w:p w14:paraId="336FD69B">
      <w:pPr>
        <w:pStyle w:val="9"/>
        <w:spacing w:line="360" w:lineRule="auto"/>
        <w:ind w:firstLine="480"/>
        <w:rPr>
          <w:rFonts w:ascii="黑体" w:hAnsi="黑体" w:eastAsia="黑体" w:cs="黑体"/>
          <w:bCs/>
          <w:sz w:val="24"/>
          <w:szCs w:val="24"/>
        </w:rPr>
      </w:pPr>
      <w:r>
        <w:rPr>
          <w:rFonts w:hint="eastAsia" w:ascii="黑体" w:hAnsi="黑体" w:eastAsia="黑体" w:cs="黑体"/>
          <w:bCs/>
          <w:sz w:val="24"/>
          <w:szCs w:val="24"/>
        </w:rPr>
        <w:t>十一、替代或废止现行相关标准的建议</w:t>
      </w:r>
    </w:p>
    <w:p w14:paraId="6488B932">
      <w:pPr>
        <w:pStyle w:val="9"/>
        <w:spacing w:line="360" w:lineRule="auto"/>
        <w:ind w:firstLine="480"/>
        <w:rPr>
          <w:rFonts w:ascii="楷体_GB2312" w:eastAsia="楷体_GB2312"/>
          <w:szCs w:val="21"/>
        </w:rPr>
      </w:pPr>
      <w:r>
        <w:rPr>
          <w:rFonts w:hint="eastAsia" w:ascii="Times New Roman" w:hAnsi="宋体"/>
          <w:kern w:val="2"/>
          <w:sz w:val="24"/>
          <w:szCs w:val="24"/>
        </w:rPr>
        <w:t>无</w:t>
      </w:r>
    </w:p>
    <w:p w14:paraId="6C35988A">
      <w:pPr>
        <w:pStyle w:val="9"/>
        <w:spacing w:line="360" w:lineRule="auto"/>
        <w:ind w:firstLine="480"/>
        <w:rPr>
          <w:rFonts w:ascii="黑体" w:hAnsi="黑体" w:eastAsia="黑体" w:cs="黑体"/>
          <w:bCs/>
          <w:sz w:val="24"/>
          <w:szCs w:val="24"/>
        </w:rPr>
      </w:pPr>
      <w:r>
        <w:rPr>
          <w:rFonts w:hint="eastAsia" w:ascii="黑体" w:hAnsi="黑体" w:eastAsia="黑体" w:cs="黑体"/>
          <w:bCs/>
          <w:sz w:val="24"/>
          <w:szCs w:val="24"/>
        </w:rPr>
        <w:t>十二、其他应予说明的事项</w:t>
      </w:r>
    </w:p>
    <w:p w14:paraId="5F29DD1E">
      <w:pPr>
        <w:pStyle w:val="9"/>
        <w:spacing w:line="360" w:lineRule="auto"/>
        <w:ind w:firstLine="480"/>
      </w:pPr>
      <w:r>
        <w:rPr>
          <w:rFonts w:hint="eastAsia" w:hAnsi="宋体"/>
          <w:sz w:val="24"/>
        </w:rPr>
        <w:t>无。</w:t>
      </w:r>
    </w:p>
    <w:p w14:paraId="6414B2D2">
      <w:pPr>
        <w:spacing w:line="360" w:lineRule="auto"/>
      </w:pPr>
    </w:p>
    <w:p w14:paraId="325209AD">
      <w:pPr>
        <w:spacing w:line="360" w:lineRule="auto"/>
        <w:jc w:val="right"/>
        <w:rPr>
          <w:rFonts w:ascii="宋体" w:hAnsi="宋体"/>
          <w:sz w:val="24"/>
        </w:rPr>
      </w:pPr>
      <w:r>
        <w:rPr>
          <w:rFonts w:hint="eastAsia" w:ascii="宋体" w:hAnsi="宋体"/>
          <w:sz w:val="24"/>
        </w:rPr>
        <w:t xml:space="preserve">                   《信息技术 感知无损压缩 第4部分：专业制作图像》</w:t>
      </w:r>
    </w:p>
    <w:p w14:paraId="091D03D9">
      <w:pPr>
        <w:spacing w:line="360" w:lineRule="auto"/>
        <w:jc w:val="right"/>
        <w:rPr>
          <w:rFonts w:ascii="宋体" w:hAnsi="宋体"/>
          <w:sz w:val="24"/>
        </w:rPr>
      </w:pPr>
      <w:r>
        <w:rPr>
          <w:rFonts w:hint="eastAsia" w:ascii="宋体" w:hAnsi="宋体"/>
          <w:sz w:val="24"/>
        </w:rPr>
        <w:t>标准编制组</w:t>
      </w:r>
    </w:p>
    <w:p w14:paraId="03AE7A87">
      <w:pPr>
        <w:spacing w:line="360" w:lineRule="auto"/>
        <w:jc w:val="right"/>
        <w:rPr>
          <w:rFonts w:hint="default"/>
          <w:lang w:val="en-US"/>
        </w:rPr>
      </w:pPr>
      <w:r>
        <w:rPr>
          <w:rFonts w:hint="eastAsia" w:ascii="宋体" w:hAnsi="宋体"/>
          <w:sz w:val="24"/>
        </w:rPr>
        <w:t xml:space="preserve">                              20</w:t>
      </w:r>
      <w:r>
        <w:rPr>
          <w:rFonts w:ascii="宋体" w:hAnsi="宋体"/>
          <w:sz w:val="24"/>
        </w:rPr>
        <w:t>2</w:t>
      </w:r>
      <w:r>
        <w:rPr>
          <w:rFonts w:hint="eastAsia" w:ascii="宋体" w:hAnsi="宋体"/>
          <w:sz w:val="24"/>
        </w:rPr>
        <w:t>5-</w:t>
      </w:r>
      <w:r>
        <w:rPr>
          <w:rFonts w:ascii="宋体" w:hAnsi="宋体"/>
          <w:sz w:val="24"/>
        </w:rPr>
        <w:t>0</w:t>
      </w:r>
      <w:r>
        <w:rPr>
          <w:rFonts w:hint="eastAsia" w:ascii="宋体" w:hAnsi="宋体"/>
          <w:sz w:val="24"/>
        </w:rPr>
        <w:t>8-</w:t>
      </w:r>
      <w:r>
        <w:rPr>
          <w:rFonts w:hint="eastAsia" w:ascii="宋体" w:hAnsi="宋体"/>
          <w:sz w:val="24"/>
          <w:lang w:val="en-US" w:eastAsia="zh-CN"/>
        </w:rPr>
        <w:t>03</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93CD1"/>
    <w:multiLevelType w:val="multilevel"/>
    <w:tmpl w:val="36E93CD1"/>
    <w:lvl w:ilvl="0" w:tentative="0">
      <w:start w:val="1"/>
      <w:numFmt w:val="bullet"/>
      <w:lvlText w:val=""/>
      <w:lvlJc w:val="left"/>
      <w:pPr>
        <w:ind w:left="922" w:hanging="440"/>
      </w:pPr>
      <w:rPr>
        <w:rFonts w:hint="default" w:ascii="Wingdings" w:hAnsi="Wingdings"/>
      </w:rPr>
    </w:lvl>
    <w:lvl w:ilvl="1" w:tentative="0">
      <w:start w:val="1"/>
      <w:numFmt w:val="bullet"/>
      <w:lvlText w:val=""/>
      <w:lvlJc w:val="left"/>
      <w:pPr>
        <w:ind w:left="1362" w:hanging="440"/>
      </w:pPr>
      <w:rPr>
        <w:rFonts w:hint="default" w:ascii="Wingdings" w:hAnsi="Wingdings"/>
      </w:rPr>
    </w:lvl>
    <w:lvl w:ilvl="2" w:tentative="0">
      <w:start w:val="1"/>
      <w:numFmt w:val="bullet"/>
      <w:lvlText w:val=""/>
      <w:lvlJc w:val="left"/>
      <w:pPr>
        <w:ind w:left="1802" w:hanging="440"/>
      </w:pPr>
      <w:rPr>
        <w:rFonts w:hint="default" w:ascii="Wingdings" w:hAnsi="Wingdings"/>
      </w:rPr>
    </w:lvl>
    <w:lvl w:ilvl="3" w:tentative="0">
      <w:start w:val="1"/>
      <w:numFmt w:val="bullet"/>
      <w:lvlText w:val=""/>
      <w:lvlJc w:val="left"/>
      <w:pPr>
        <w:ind w:left="2242" w:hanging="440"/>
      </w:pPr>
      <w:rPr>
        <w:rFonts w:hint="default" w:ascii="Wingdings" w:hAnsi="Wingdings"/>
      </w:rPr>
    </w:lvl>
    <w:lvl w:ilvl="4" w:tentative="0">
      <w:start w:val="1"/>
      <w:numFmt w:val="bullet"/>
      <w:lvlText w:val=""/>
      <w:lvlJc w:val="left"/>
      <w:pPr>
        <w:ind w:left="2682" w:hanging="440"/>
      </w:pPr>
      <w:rPr>
        <w:rFonts w:hint="default" w:ascii="Wingdings" w:hAnsi="Wingdings"/>
      </w:rPr>
    </w:lvl>
    <w:lvl w:ilvl="5" w:tentative="0">
      <w:start w:val="1"/>
      <w:numFmt w:val="bullet"/>
      <w:lvlText w:val=""/>
      <w:lvlJc w:val="left"/>
      <w:pPr>
        <w:ind w:left="3122" w:hanging="440"/>
      </w:pPr>
      <w:rPr>
        <w:rFonts w:hint="default" w:ascii="Wingdings" w:hAnsi="Wingdings"/>
      </w:rPr>
    </w:lvl>
    <w:lvl w:ilvl="6" w:tentative="0">
      <w:start w:val="1"/>
      <w:numFmt w:val="bullet"/>
      <w:lvlText w:val=""/>
      <w:lvlJc w:val="left"/>
      <w:pPr>
        <w:ind w:left="3562" w:hanging="440"/>
      </w:pPr>
      <w:rPr>
        <w:rFonts w:hint="default" w:ascii="Wingdings" w:hAnsi="Wingdings"/>
      </w:rPr>
    </w:lvl>
    <w:lvl w:ilvl="7" w:tentative="0">
      <w:start w:val="1"/>
      <w:numFmt w:val="bullet"/>
      <w:lvlText w:val=""/>
      <w:lvlJc w:val="left"/>
      <w:pPr>
        <w:ind w:left="4002" w:hanging="440"/>
      </w:pPr>
      <w:rPr>
        <w:rFonts w:hint="default" w:ascii="Wingdings" w:hAnsi="Wingdings"/>
      </w:rPr>
    </w:lvl>
    <w:lvl w:ilvl="8" w:tentative="0">
      <w:start w:val="1"/>
      <w:numFmt w:val="bullet"/>
      <w:lvlText w:val=""/>
      <w:lvlJc w:val="left"/>
      <w:pPr>
        <w:ind w:left="4442" w:hanging="440"/>
      </w:pPr>
      <w:rPr>
        <w:rFonts w:hint="default" w:ascii="Wingdings" w:hAnsi="Wingdings"/>
      </w:rPr>
    </w:lvl>
  </w:abstractNum>
  <w:abstractNum w:abstractNumId="1">
    <w:nsid w:val="59847658"/>
    <w:multiLevelType w:val="singleLevel"/>
    <w:tmpl w:val="5984765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7B767D"/>
    <w:rsid w:val="00005D26"/>
    <w:rsid w:val="000115A2"/>
    <w:rsid w:val="00012E45"/>
    <w:rsid w:val="00016FAE"/>
    <w:rsid w:val="00023E8C"/>
    <w:rsid w:val="000C226D"/>
    <w:rsid w:val="000C6ECD"/>
    <w:rsid w:val="00154D48"/>
    <w:rsid w:val="00163B18"/>
    <w:rsid w:val="00173DED"/>
    <w:rsid w:val="0017421C"/>
    <w:rsid w:val="001A3B51"/>
    <w:rsid w:val="001B43D8"/>
    <w:rsid w:val="001B4893"/>
    <w:rsid w:val="001B679B"/>
    <w:rsid w:val="002333A9"/>
    <w:rsid w:val="002337E4"/>
    <w:rsid w:val="00242DEB"/>
    <w:rsid w:val="0027291B"/>
    <w:rsid w:val="002D25CF"/>
    <w:rsid w:val="003967C8"/>
    <w:rsid w:val="003B5197"/>
    <w:rsid w:val="00406A00"/>
    <w:rsid w:val="00426435"/>
    <w:rsid w:val="0048572F"/>
    <w:rsid w:val="00487AEC"/>
    <w:rsid w:val="00491E09"/>
    <w:rsid w:val="004C234A"/>
    <w:rsid w:val="004F5D4E"/>
    <w:rsid w:val="005040F2"/>
    <w:rsid w:val="005C49F4"/>
    <w:rsid w:val="005F7716"/>
    <w:rsid w:val="00602B5D"/>
    <w:rsid w:val="00616313"/>
    <w:rsid w:val="00623337"/>
    <w:rsid w:val="00656844"/>
    <w:rsid w:val="0069740B"/>
    <w:rsid w:val="006F2207"/>
    <w:rsid w:val="00717F59"/>
    <w:rsid w:val="00731992"/>
    <w:rsid w:val="007442B9"/>
    <w:rsid w:val="0074660A"/>
    <w:rsid w:val="00754812"/>
    <w:rsid w:val="00761CB1"/>
    <w:rsid w:val="0077308D"/>
    <w:rsid w:val="007A1324"/>
    <w:rsid w:val="007A7ADC"/>
    <w:rsid w:val="007B767D"/>
    <w:rsid w:val="007E2F5E"/>
    <w:rsid w:val="00842C68"/>
    <w:rsid w:val="008652C5"/>
    <w:rsid w:val="008A2F9E"/>
    <w:rsid w:val="008A6DE2"/>
    <w:rsid w:val="008F36C5"/>
    <w:rsid w:val="00920ECB"/>
    <w:rsid w:val="009426F4"/>
    <w:rsid w:val="009C48C6"/>
    <w:rsid w:val="009E6055"/>
    <w:rsid w:val="009F0B7F"/>
    <w:rsid w:val="009F295D"/>
    <w:rsid w:val="009F4444"/>
    <w:rsid w:val="00A17FA6"/>
    <w:rsid w:val="00A80A5A"/>
    <w:rsid w:val="00A84D5B"/>
    <w:rsid w:val="00A92627"/>
    <w:rsid w:val="00A936E1"/>
    <w:rsid w:val="00AB0FD1"/>
    <w:rsid w:val="00B14A8D"/>
    <w:rsid w:val="00B15DE1"/>
    <w:rsid w:val="00B2638C"/>
    <w:rsid w:val="00B34667"/>
    <w:rsid w:val="00B94915"/>
    <w:rsid w:val="00BB1DFE"/>
    <w:rsid w:val="00BC24C0"/>
    <w:rsid w:val="00BE7C5A"/>
    <w:rsid w:val="00C105F3"/>
    <w:rsid w:val="00C11979"/>
    <w:rsid w:val="00C30BA0"/>
    <w:rsid w:val="00C72F07"/>
    <w:rsid w:val="00CE2C89"/>
    <w:rsid w:val="00CF4F92"/>
    <w:rsid w:val="00D1362D"/>
    <w:rsid w:val="00D24B7D"/>
    <w:rsid w:val="00D461F7"/>
    <w:rsid w:val="00D55CA4"/>
    <w:rsid w:val="00D73054"/>
    <w:rsid w:val="00DC6598"/>
    <w:rsid w:val="00DE1DC4"/>
    <w:rsid w:val="00E05C17"/>
    <w:rsid w:val="00E062A6"/>
    <w:rsid w:val="00E33ACE"/>
    <w:rsid w:val="00E5130B"/>
    <w:rsid w:val="00E70825"/>
    <w:rsid w:val="00E77FA6"/>
    <w:rsid w:val="00E934E1"/>
    <w:rsid w:val="00ED09AD"/>
    <w:rsid w:val="00F06DB1"/>
    <w:rsid w:val="00F142DC"/>
    <w:rsid w:val="00F6591B"/>
    <w:rsid w:val="00F757D3"/>
    <w:rsid w:val="00F85FBE"/>
    <w:rsid w:val="00F97D44"/>
    <w:rsid w:val="00FC31DE"/>
    <w:rsid w:val="00FC5D8F"/>
    <w:rsid w:val="00FD736E"/>
    <w:rsid w:val="025813B8"/>
    <w:rsid w:val="1B8923F1"/>
    <w:rsid w:val="385007D9"/>
    <w:rsid w:val="5D94712C"/>
    <w:rsid w:val="7ED56F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caption"/>
    <w:basedOn w:val="1"/>
    <w:next w:val="1"/>
    <w:link w:val="15"/>
    <w:autoRedefine/>
    <w:qFormat/>
    <w:uiPriority w:val="35"/>
    <w:pPr>
      <w:adjustRightInd/>
      <w:spacing w:before="152" w:after="360" w:line="240" w:lineRule="auto"/>
      <w:ind w:firstLine="420" w:firstLineChars="200"/>
      <w:jc w:val="center"/>
    </w:pPr>
    <w:rPr>
      <w:rFonts w:ascii="Times New Roman" w:hAnsi="Times New Roman" w:cs="Arial"/>
    </w:rPr>
  </w:style>
  <w:style w:type="paragraph" w:styleId="5">
    <w:name w:val="footer"/>
    <w:basedOn w:val="1"/>
    <w:link w:val="13"/>
    <w:autoRedefine/>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段 Char"/>
    <w:link w:val="9"/>
    <w:autoRedefine/>
    <w:qFormat/>
    <w:uiPriority w:val="0"/>
    <w:rPr>
      <w:rFonts w:ascii="宋体" w:hAnsi="Times New Roman" w:eastAsia="宋体" w:cs="Times New Roman"/>
      <w:kern w:val="0"/>
      <w:szCs w:val="20"/>
      <w14:ligatures w14:val="none"/>
    </w:rPr>
  </w:style>
  <w:style w:type="paragraph" w:customStyle="1" w:styleId="1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12">
    <w:name w:val="页眉 字符"/>
    <w:basedOn w:val="8"/>
    <w:link w:val="6"/>
    <w:autoRedefine/>
    <w:qFormat/>
    <w:uiPriority w:val="99"/>
    <w:rPr>
      <w:rFonts w:ascii="Calibri" w:hAnsi="Calibri" w:eastAsia="宋体" w:cs="Times New Roman"/>
      <w:sz w:val="18"/>
      <w:szCs w:val="18"/>
      <w14:ligatures w14:val="none"/>
    </w:rPr>
  </w:style>
  <w:style w:type="character" w:customStyle="1" w:styleId="13">
    <w:name w:val="页脚 字符"/>
    <w:basedOn w:val="8"/>
    <w:link w:val="5"/>
    <w:autoRedefine/>
    <w:qFormat/>
    <w:uiPriority w:val="99"/>
    <w:rPr>
      <w:rFonts w:ascii="Calibri" w:hAnsi="Calibri" w:eastAsia="宋体" w:cs="Times New Roman"/>
      <w:sz w:val="18"/>
      <w:szCs w:val="18"/>
      <w14:ligatures w14:val="none"/>
    </w:rPr>
  </w:style>
  <w:style w:type="paragraph" w:styleId="14">
    <w:name w:val="List Paragraph"/>
    <w:basedOn w:val="1"/>
    <w:autoRedefine/>
    <w:qFormat/>
    <w:uiPriority w:val="34"/>
    <w:pPr>
      <w:adjustRightInd/>
      <w:spacing w:line="240" w:lineRule="auto"/>
      <w:ind w:left="720"/>
      <w:contextualSpacing/>
    </w:pPr>
    <w:rPr>
      <w:rFonts w:ascii="Times New Roman" w:hAnsi="Times New Roman" w:eastAsiaTheme="minorEastAsia"/>
      <w:szCs w:val="24"/>
    </w:rPr>
  </w:style>
  <w:style w:type="character" w:customStyle="1" w:styleId="15">
    <w:name w:val="题注 字符"/>
    <w:link w:val="4"/>
    <w:qFormat/>
    <w:locked/>
    <w:uiPriority w:val="0"/>
    <w:rPr>
      <w:rFonts w:ascii="Times New Roman" w:hAnsi="Times New Roman" w:eastAsia="宋体" w:cs="Arial"/>
      <w:kern w:val="2"/>
      <w:sz w:val="21"/>
      <w:szCs w:val="21"/>
    </w:rPr>
  </w:style>
  <w:style w:type="paragraph" w:customStyle="1" w:styleId="16">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2C302-2768-49C6-8AA2-259801073824}">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5124</Words>
  <Characters>5603</Characters>
  <Lines>117</Lines>
  <Paragraphs>88</Paragraphs>
  <TotalTime>11</TotalTime>
  <ScaleCrop>false</ScaleCrop>
  <LinksUpToDate>false</LinksUpToDate>
  <CharactersWithSpaces>5683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2025-08-15T07:01:00Z</dcterms:created>
  <dc:creator>赵 海英</dc:creator>
  <cp:lastModifiedBy>竟然有人</cp:lastModifiedBy>
  <dcterms:modified xsi:type="dcterms:W3CDTF">2025-08-15T10:30:46Z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3B152BBB14A04A0DA48112D3730D2FC3_13</vt:lpwstr>
  </property>
  <property fmtid="{D5CDD505-2E9C-101B-9397-08002B2CF9AE}" pid="4" name="KSOTemplateDocerSaveRecord">
    <vt:lpwstr>eyJoZGlkIjoiZmIxMTlmMjk1N2U3N2UxMzdiMTE0YjAxNmUzNTM5MTciLCJ1c2VySWQiOiIyNjc4ODg2MTcifQ==</vt:lpwstr>
  </property>
</Properties>
</file>