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1555" w14:textId="09E22176" w:rsidR="00D67E75" w:rsidRDefault="00000000">
      <w:pPr>
        <w:jc w:val="center"/>
      </w:pPr>
      <w:r>
        <w:rPr>
          <w:rFonts w:ascii="黑体" w:eastAsia="黑体" w:hAnsi="黑体" w:cs="黑体" w:hint="eastAsia"/>
          <w:b/>
          <w:bCs/>
          <w:sz w:val="32"/>
          <w:szCs w:val="32"/>
        </w:rPr>
        <w:t>团体标准《人工智能算力网络 第14部分：数据与模型安全可信数据空间》（征求意见稿）编制说明</w:t>
      </w:r>
    </w:p>
    <w:p w14:paraId="67C11579" w14:textId="77777777" w:rsidR="00D67E75" w:rsidRDefault="00D67E75"/>
    <w:p w14:paraId="7561BA9D" w14:textId="77777777" w:rsidR="00D67E75" w:rsidRDefault="00000000">
      <w:pPr>
        <w:numPr>
          <w:ilvl w:val="0"/>
          <w:numId w:val="1"/>
        </w:numPr>
        <w:spacing w:line="360" w:lineRule="auto"/>
        <w:rPr>
          <w:rFonts w:ascii="宋体" w:eastAsia="宋体" w:hAnsi="宋体" w:cs="宋体"/>
          <w:b/>
          <w:bCs/>
          <w:sz w:val="24"/>
        </w:rPr>
      </w:pPr>
      <w:r>
        <w:rPr>
          <w:rFonts w:ascii="宋体" w:eastAsia="宋体" w:hAnsi="宋体" w:cs="宋体" w:hint="eastAsia"/>
          <w:b/>
          <w:bCs/>
          <w:sz w:val="24"/>
        </w:rPr>
        <w:t>工作简况</w:t>
      </w:r>
    </w:p>
    <w:p w14:paraId="29671B88" w14:textId="49B2BA7F"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本标准工作组自2023年6月第23次会议开始，讨论启动人工智能算力网络可信数据空间相关标准制定工作，通过了《人工智能算力网络 第14部分数据与模型安全可信数据空间》标准需求提案，并输出需求文档。2023年9月AI标准工作组第24次会议，工作组通过提案征集书，输出《人工智能算力网络 第14部分：数据与模型安全-可信数据空间提案征集书》。2024年12月AI标准工作组第29次会议通过了《人工智能算力网络 第14部分：数据与模型安全可信数据空间》标准提案，并输出《人工智能算力网络 第14部分：数据与模型安全可信数据空间 WD v0.1》。工作组于2024年12月至2026年3月，经历3次会议（2024年12月第29次会议，2025年3月第30次会议，2026年3月第34次会议），经讨论修改更新了2份《人工智能算力网络 第14部分：数据与模型安全-可信数据空间》提案。</w:t>
      </w:r>
    </w:p>
    <w:p w14:paraId="654C75F0" w14:textId="68A97971"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2025年6月，根据“关于下达《人工智能算力网络 第14部分：数据与模型安全-可信数据空间》1项团体标准立项的通知（AITISA【2</w:t>
      </w:r>
      <w:r>
        <w:rPr>
          <w:rFonts w:ascii="宋体" w:eastAsia="宋体" w:hAnsi="宋体" w:cs="宋体"/>
          <w:sz w:val="24"/>
        </w:rPr>
        <w:t>02</w:t>
      </w:r>
      <w:r>
        <w:rPr>
          <w:rFonts w:ascii="宋体" w:eastAsia="宋体" w:hAnsi="宋体" w:cs="宋体" w:hint="eastAsia"/>
          <w:sz w:val="24"/>
        </w:rPr>
        <w:t>5】7号文）”，下达了由鹏城实验室牵头制定团体标准《人工智能算力网络 第14部分：数据与模型安全可信数据空间》（标准计划号：2025061101）的制定任务。2026年3月，经第34次会议讨论批准，同意团体标准《人工智能算力网络 第14部分：数据与模型安全-可信数据空间》进入征求意见阶段，更新WD版本为0.3，输出征求意见稿。</w:t>
      </w:r>
    </w:p>
    <w:p w14:paraId="415572FF"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本项目的主要起草单位包括鹏城实验室、哈尔滨工业大学（深圳）、国防科技大学、浪潮云信息技术股份有限公司、广东电网有限责任公司、华中科技大学。</w:t>
      </w:r>
    </w:p>
    <w:p w14:paraId="06296F51"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本项目主要起草人：刘永恒、刘星、段少明、熊思伟、丁振兰、李俊龙、刘川意、韩培义、余跃、许文博、黄文杰、庄荣飞、颜亮、刘晔、杨雨飞、顾琳。</w:t>
      </w:r>
    </w:p>
    <w:p w14:paraId="7EA01F42" w14:textId="77777777" w:rsidR="00D67E75" w:rsidRDefault="00D67E75">
      <w:pPr>
        <w:spacing w:line="360" w:lineRule="auto"/>
        <w:ind w:firstLineChars="200" w:firstLine="480"/>
        <w:rPr>
          <w:rFonts w:ascii="宋体" w:eastAsia="宋体" w:hAnsi="宋体" w:cs="宋体"/>
          <w:sz w:val="24"/>
        </w:rPr>
      </w:pPr>
    </w:p>
    <w:p w14:paraId="5FDC26F4" w14:textId="77777777" w:rsidR="00D67E75" w:rsidRDefault="00000000">
      <w:pPr>
        <w:numPr>
          <w:ilvl w:val="0"/>
          <w:numId w:val="1"/>
        </w:numPr>
        <w:spacing w:line="360" w:lineRule="auto"/>
        <w:rPr>
          <w:rFonts w:ascii="宋体" w:eastAsia="宋体" w:hAnsi="宋体" w:cs="宋体"/>
          <w:b/>
          <w:bCs/>
          <w:sz w:val="24"/>
        </w:rPr>
      </w:pPr>
      <w:r>
        <w:rPr>
          <w:rFonts w:ascii="宋体" w:eastAsia="宋体" w:hAnsi="宋体" w:cs="宋体" w:hint="eastAsia"/>
          <w:b/>
          <w:bCs/>
          <w:sz w:val="24"/>
        </w:rPr>
        <w:t>标准编制原则和确定主要内容的论据及解决的主要问题</w:t>
      </w:r>
    </w:p>
    <w:p w14:paraId="791B0851" w14:textId="77777777" w:rsidR="00D67E75" w:rsidRDefault="00000000">
      <w:pPr>
        <w:pStyle w:val="ae"/>
        <w:numPr>
          <w:ilvl w:val="0"/>
          <w:numId w:val="2"/>
        </w:numPr>
        <w:spacing w:line="360" w:lineRule="auto"/>
        <w:ind w:firstLineChars="0" w:firstLine="420"/>
        <w:rPr>
          <w:rFonts w:ascii="宋体" w:eastAsia="宋体" w:hAnsi="宋体" w:cs="宋体"/>
          <w:b/>
          <w:sz w:val="24"/>
        </w:rPr>
      </w:pPr>
      <w:r>
        <w:rPr>
          <w:rFonts w:ascii="宋体" w:eastAsia="宋体" w:hAnsi="宋体" w:cs="宋体" w:hint="eastAsia"/>
          <w:b/>
          <w:sz w:val="24"/>
        </w:rPr>
        <w:t>标准编制原则</w:t>
      </w:r>
    </w:p>
    <w:p w14:paraId="1D1AFEE5" w14:textId="48A4E60D" w:rsidR="00D67E75" w:rsidRDefault="00000000">
      <w:pPr>
        <w:pStyle w:val="ae"/>
        <w:spacing w:line="360" w:lineRule="auto"/>
        <w:ind w:firstLine="480"/>
        <w:rPr>
          <w:rFonts w:ascii="宋体" w:eastAsia="宋体" w:hAnsi="宋体" w:cs="宋体"/>
          <w:sz w:val="24"/>
        </w:rPr>
      </w:pPr>
      <w:r>
        <w:rPr>
          <w:rFonts w:ascii="宋体" w:eastAsia="宋体" w:hAnsi="宋体" w:cs="宋体" w:hint="eastAsia"/>
          <w:sz w:val="24"/>
        </w:rPr>
        <w:lastRenderedPageBreak/>
        <w:t>《人工智能算力网络 第14部分：数据与模型安全可信数据空间》需适用于人工智能算力网络的总体设计和建设，</w:t>
      </w:r>
      <w:r>
        <w:rPr>
          <w:rFonts w:hAnsi="宋体" w:hint="eastAsia"/>
          <w:color w:val="000000"/>
          <w:sz w:val="24"/>
        </w:rPr>
        <w:t>为智算网络中的数据与模型流通提供安全可信的基础设施，以促进</w:t>
      </w:r>
      <w:r>
        <w:rPr>
          <w:rFonts w:ascii="宋体" w:eastAsia="宋体" w:hAnsi="宋体" w:cs="宋体" w:hint="eastAsia"/>
          <w:sz w:val="24"/>
        </w:rPr>
        <w:t>智算网络中的</w:t>
      </w:r>
      <w:r>
        <w:rPr>
          <w:rFonts w:hAnsi="宋体" w:hint="eastAsia"/>
          <w:color w:val="000000"/>
          <w:sz w:val="24"/>
        </w:rPr>
        <w:t>数据资源高效合规流通，规定的技术要求结合产学研众多单位的意见，技术要求清晰、易操作、可实现。</w:t>
      </w:r>
    </w:p>
    <w:p w14:paraId="2FB14739" w14:textId="77777777" w:rsidR="00D67E75" w:rsidRDefault="00000000" w:rsidP="00710EDC">
      <w:pPr>
        <w:spacing w:line="360" w:lineRule="auto"/>
        <w:ind w:firstLineChars="200" w:firstLine="482"/>
        <w:rPr>
          <w:rFonts w:ascii="宋体" w:eastAsia="宋体" w:hAnsi="宋体" w:cs="宋体"/>
          <w:b/>
          <w:sz w:val="24"/>
        </w:rPr>
      </w:pPr>
      <w:r>
        <w:rPr>
          <w:rFonts w:ascii="宋体" w:eastAsia="宋体" w:hAnsi="宋体" w:cs="宋体"/>
          <w:b/>
          <w:sz w:val="24"/>
        </w:rPr>
        <w:t xml:space="preserve">2. </w:t>
      </w:r>
      <w:r>
        <w:rPr>
          <w:rFonts w:ascii="宋体" w:eastAsia="宋体" w:hAnsi="宋体" w:cs="宋体" w:hint="eastAsia"/>
          <w:b/>
          <w:sz w:val="24"/>
        </w:rPr>
        <w:t>标准主要内容</w:t>
      </w:r>
    </w:p>
    <w:p w14:paraId="3F0619BE"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标准规定了人工智能算力网络可信数据空间的术语、系统架构、功能要求、各功能模块间的接口要求，适用于人工智能算力网络的总体设计和建设，为人工智能算力网络下的各种行业和企业可信数据空间的开发、建设、测试提供规范化的参考建议。</w:t>
      </w:r>
    </w:p>
    <w:p w14:paraId="6816652A" w14:textId="77777777" w:rsidR="00D67E75" w:rsidRDefault="00000000">
      <w:pPr>
        <w:spacing w:line="360" w:lineRule="auto"/>
        <w:ind w:firstLineChars="200" w:firstLine="480"/>
        <w:rPr>
          <w:rFonts w:hAnsi="宋体"/>
          <w:color w:val="000000"/>
          <w:sz w:val="24"/>
        </w:rPr>
      </w:pPr>
      <w:r>
        <w:rPr>
          <w:rFonts w:ascii="宋体" w:eastAsia="宋体" w:hAnsi="宋体" w:cs="宋体" w:hint="eastAsia"/>
          <w:sz w:val="24"/>
        </w:rPr>
        <w:t>本标准分为7个章节和1个附录，</w:t>
      </w:r>
      <w:r>
        <w:rPr>
          <w:rFonts w:ascii="宋体" w:eastAsia="宋体" w:hAnsi="宋体" w:cs="宋体" w:hint="eastAsia"/>
          <w:color w:val="000000"/>
          <w:sz w:val="24"/>
        </w:rPr>
        <w:t>第1章“范围”；第2章“规范性引用文件”；第3</w:t>
      </w:r>
      <w:r>
        <w:rPr>
          <w:rFonts w:ascii="宋体" w:eastAsia="宋体" w:hAnsi="宋体" w:cs="宋体" w:hint="eastAsia"/>
          <w:sz w:val="24"/>
        </w:rPr>
        <w:t>章“术语</w:t>
      </w:r>
      <w:r>
        <w:rPr>
          <w:rFonts w:ascii="宋体" w:eastAsia="宋体" w:hAnsi="宋体" w:cs="宋体" w:hint="eastAsia"/>
          <w:color w:val="000000"/>
          <w:sz w:val="24"/>
        </w:rPr>
        <w:t>”；第4章“缩略语”；第5</w:t>
      </w:r>
      <w:r>
        <w:rPr>
          <w:rFonts w:ascii="宋体" w:eastAsia="宋体" w:hAnsi="宋体" w:cs="宋体" w:hint="eastAsia"/>
          <w:sz w:val="24"/>
        </w:rPr>
        <w:t>章“系统参考架构</w:t>
      </w:r>
      <w:r>
        <w:rPr>
          <w:rFonts w:ascii="宋体" w:eastAsia="宋体" w:hAnsi="宋体" w:cs="宋体" w:hint="eastAsia"/>
          <w:color w:val="000000"/>
          <w:sz w:val="24"/>
        </w:rPr>
        <w:t>”；第6章“</w:t>
      </w:r>
      <w:r>
        <w:rPr>
          <w:rFonts w:ascii="宋体" w:eastAsia="宋体" w:hAnsi="宋体" w:cs="宋体" w:hint="eastAsia"/>
          <w:sz w:val="24"/>
        </w:rPr>
        <w:t>功能要求</w:t>
      </w:r>
      <w:r>
        <w:rPr>
          <w:rFonts w:ascii="宋体" w:eastAsia="宋体" w:hAnsi="宋体" w:cs="宋体" w:hint="eastAsia"/>
          <w:color w:val="000000"/>
          <w:sz w:val="24"/>
        </w:rPr>
        <w:t>”；第7章“</w:t>
      </w:r>
      <w:r>
        <w:rPr>
          <w:rFonts w:ascii="宋体" w:eastAsia="宋体" w:hAnsi="宋体" w:cs="宋体" w:hint="eastAsia"/>
          <w:sz w:val="24"/>
        </w:rPr>
        <w:t>接口</w:t>
      </w:r>
      <w:r>
        <w:rPr>
          <w:rFonts w:ascii="宋体" w:eastAsia="宋体" w:hAnsi="宋体" w:cs="宋体" w:hint="eastAsia"/>
          <w:color w:val="000000"/>
          <w:sz w:val="24"/>
        </w:rPr>
        <w:t>要求”，附录A“接口说明”。</w:t>
      </w:r>
    </w:p>
    <w:p w14:paraId="3E33DF9D" w14:textId="77777777" w:rsidR="00D67E75" w:rsidRDefault="00000000">
      <w:pPr>
        <w:spacing w:line="360" w:lineRule="auto"/>
        <w:ind w:firstLineChars="200" w:firstLine="480"/>
        <w:rPr>
          <w:rFonts w:ascii="宋体" w:hAnsi="宋体" w:cs="宋体"/>
          <w:color w:val="000000"/>
          <w:sz w:val="24"/>
        </w:rPr>
      </w:pPr>
      <w:r>
        <w:rPr>
          <w:rFonts w:ascii="宋体" w:eastAsia="宋体" w:hAnsi="宋体" w:cs="宋体" w:hint="eastAsia"/>
          <w:color w:val="000000"/>
          <w:sz w:val="24"/>
        </w:rPr>
        <w:t>第1章阐述了本</w:t>
      </w:r>
      <w:r>
        <w:rPr>
          <w:rFonts w:ascii="宋体" w:eastAsia="宋体" w:hAnsi="宋体" w:cs="宋体" w:hint="eastAsia"/>
          <w:sz w:val="24"/>
        </w:rPr>
        <w:t>标准</w:t>
      </w:r>
      <w:r>
        <w:rPr>
          <w:rFonts w:ascii="宋体" w:eastAsia="宋体" w:hAnsi="宋体" w:cs="宋体" w:hint="eastAsia"/>
          <w:color w:val="000000"/>
          <w:sz w:val="24"/>
        </w:rPr>
        <w:t>的主要内容及范围。</w:t>
      </w:r>
    </w:p>
    <w:p w14:paraId="67165E54" w14:textId="77777777" w:rsidR="00D67E75" w:rsidRDefault="00000000">
      <w:pPr>
        <w:spacing w:line="360" w:lineRule="auto"/>
        <w:ind w:firstLineChars="200" w:firstLine="480"/>
        <w:rPr>
          <w:rFonts w:ascii="宋体" w:hAnsi="宋体" w:cs="宋体"/>
          <w:color w:val="000000"/>
          <w:sz w:val="24"/>
        </w:rPr>
      </w:pPr>
      <w:r>
        <w:rPr>
          <w:rFonts w:ascii="宋体" w:eastAsia="宋体" w:hAnsi="宋体" w:cs="宋体" w:hint="eastAsia"/>
          <w:color w:val="000000"/>
          <w:sz w:val="24"/>
        </w:rPr>
        <w:t>第2章说明了本</w:t>
      </w:r>
      <w:r>
        <w:rPr>
          <w:rFonts w:ascii="宋体" w:eastAsia="宋体" w:hAnsi="宋体" w:cs="宋体" w:hint="eastAsia"/>
          <w:sz w:val="24"/>
        </w:rPr>
        <w:t>标准</w:t>
      </w:r>
      <w:r>
        <w:rPr>
          <w:rFonts w:ascii="宋体" w:eastAsia="宋体" w:hAnsi="宋体" w:cs="宋体" w:hint="eastAsia"/>
          <w:color w:val="000000"/>
          <w:sz w:val="24"/>
        </w:rPr>
        <w:t>的引用文件。</w:t>
      </w:r>
    </w:p>
    <w:p w14:paraId="602DA39E" w14:textId="77777777" w:rsidR="00D67E75" w:rsidRDefault="00000000">
      <w:pPr>
        <w:spacing w:line="360" w:lineRule="auto"/>
        <w:ind w:firstLineChars="200" w:firstLine="480"/>
        <w:rPr>
          <w:rFonts w:ascii="宋体" w:hAnsi="宋体" w:cs="宋体"/>
          <w:sz w:val="24"/>
        </w:rPr>
      </w:pPr>
      <w:r>
        <w:rPr>
          <w:rFonts w:ascii="宋体" w:eastAsia="宋体" w:hAnsi="宋体" w:cs="宋体" w:hint="eastAsia"/>
          <w:color w:val="000000"/>
          <w:sz w:val="24"/>
        </w:rPr>
        <w:t>第3章列出了本</w:t>
      </w:r>
      <w:r>
        <w:rPr>
          <w:rFonts w:ascii="宋体" w:eastAsia="宋体" w:hAnsi="宋体" w:cs="宋体" w:hint="eastAsia"/>
          <w:sz w:val="24"/>
        </w:rPr>
        <w:t>标准</w:t>
      </w:r>
      <w:r>
        <w:rPr>
          <w:rFonts w:ascii="宋体" w:eastAsia="宋体" w:hAnsi="宋体" w:cs="宋体" w:hint="eastAsia"/>
          <w:color w:val="000000"/>
          <w:sz w:val="24"/>
        </w:rPr>
        <w:t>中术语的引用和定义。</w:t>
      </w:r>
      <w:r>
        <w:rPr>
          <w:rFonts w:ascii="宋体" w:eastAsia="宋体" w:hAnsi="宋体" w:cs="宋体" w:hint="eastAsia"/>
          <w:sz w:val="24"/>
        </w:rPr>
        <w:t>从广义的“数据”概念出发，进一步定义了“数据产品与服务”、“数据流通”、“可信数据空间”、“数据标识”、“数据沙箱”等专业术语。</w:t>
      </w:r>
    </w:p>
    <w:p w14:paraId="51EABBD7" w14:textId="77777777" w:rsidR="00D67E75" w:rsidRDefault="00000000">
      <w:pPr>
        <w:spacing w:line="360" w:lineRule="auto"/>
        <w:ind w:firstLineChars="200" w:firstLine="480"/>
        <w:rPr>
          <w:rFonts w:ascii="宋体" w:hAnsi="宋体" w:cs="宋体"/>
          <w:color w:val="000000"/>
          <w:sz w:val="24"/>
        </w:rPr>
      </w:pPr>
      <w:r>
        <w:rPr>
          <w:rFonts w:ascii="宋体" w:eastAsia="宋体" w:hAnsi="宋体" w:cs="宋体" w:hint="eastAsia"/>
          <w:color w:val="000000"/>
          <w:sz w:val="24"/>
        </w:rPr>
        <w:t>第4</w:t>
      </w:r>
      <w:r>
        <w:rPr>
          <w:rFonts w:ascii="宋体" w:eastAsia="宋体" w:hAnsi="宋体" w:cs="宋体" w:hint="eastAsia"/>
          <w:sz w:val="24"/>
        </w:rPr>
        <w:t>章列出了本标准</w:t>
      </w:r>
      <w:r>
        <w:rPr>
          <w:rFonts w:ascii="宋体" w:eastAsia="宋体" w:hAnsi="宋体" w:cs="宋体" w:hint="eastAsia"/>
          <w:color w:val="000000"/>
          <w:sz w:val="24"/>
        </w:rPr>
        <w:t>涉及的缩略语。</w:t>
      </w:r>
    </w:p>
    <w:p w14:paraId="4D4CB744" w14:textId="77777777" w:rsidR="00D67E75" w:rsidRDefault="00000000">
      <w:pPr>
        <w:spacing w:line="360" w:lineRule="auto"/>
        <w:ind w:firstLineChars="200" w:firstLine="480"/>
        <w:rPr>
          <w:rFonts w:ascii="宋体" w:hAnsi="宋体" w:cs="宋体"/>
          <w:sz w:val="24"/>
        </w:rPr>
      </w:pPr>
      <w:r>
        <w:rPr>
          <w:rFonts w:ascii="宋体" w:eastAsia="宋体" w:hAnsi="宋体" w:cs="宋体" w:hint="eastAsia"/>
          <w:color w:val="000000"/>
          <w:sz w:val="24"/>
        </w:rPr>
        <w:t>第5章给出了</w:t>
      </w:r>
      <w:r>
        <w:rPr>
          <w:rFonts w:ascii="宋体" w:eastAsia="宋体" w:hAnsi="宋体" w:cs="宋体" w:hint="eastAsia"/>
          <w:sz w:val="24"/>
        </w:rPr>
        <w:t>智算网络的总体参考架构以及可信数据空间的参考架构并介绍了数据流通过程涉及的主要角色以及交互流程。</w:t>
      </w:r>
    </w:p>
    <w:p w14:paraId="131F944E"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第6章基于第5章总体架构和参考架构中的各业务分层关系，提出了智算网络中可信数据空间功能要求。</w:t>
      </w:r>
    </w:p>
    <w:p w14:paraId="081C3CFD"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第7章给出了智算网络可信数据空间接口通用要求。</w:t>
      </w:r>
    </w:p>
    <w:p w14:paraId="0B160E9D"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附录A列出了可信数据空间的详细接口说明。</w:t>
      </w:r>
    </w:p>
    <w:p w14:paraId="3D893DB1" w14:textId="77777777" w:rsidR="00D67E75" w:rsidRDefault="00000000" w:rsidP="00710EDC">
      <w:pPr>
        <w:spacing w:line="360" w:lineRule="auto"/>
        <w:ind w:firstLineChars="200" w:firstLine="482"/>
        <w:rPr>
          <w:rFonts w:ascii="宋体" w:eastAsia="宋体" w:hAnsi="宋体" w:cs="宋体"/>
          <w:b/>
          <w:sz w:val="24"/>
        </w:rPr>
      </w:pPr>
      <w:r>
        <w:rPr>
          <w:rFonts w:ascii="宋体" w:eastAsia="宋体" w:hAnsi="宋体" w:cs="宋体"/>
          <w:b/>
          <w:sz w:val="24"/>
        </w:rPr>
        <w:t xml:space="preserve">3. </w:t>
      </w:r>
      <w:r>
        <w:rPr>
          <w:rFonts w:ascii="宋体" w:eastAsia="宋体" w:hAnsi="宋体" w:cs="宋体" w:hint="eastAsia"/>
          <w:b/>
          <w:sz w:val="24"/>
        </w:rPr>
        <w:t>解决的主要问题</w:t>
      </w:r>
    </w:p>
    <w:p w14:paraId="3CBB546D"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本标准拟解决以下问题：</w:t>
      </w:r>
    </w:p>
    <w:p w14:paraId="6055E7CE"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sz w:val="24"/>
        </w:rPr>
        <w:t>1）破解</w:t>
      </w:r>
      <w:r>
        <w:rPr>
          <w:rFonts w:ascii="宋体" w:eastAsia="宋体" w:hAnsi="宋体" w:cs="宋体" w:hint="eastAsia"/>
          <w:sz w:val="24"/>
        </w:rPr>
        <w:t>数据安全</w:t>
      </w:r>
      <w:r>
        <w:rPr>
          <w:rFonts w:ascii="宋体" w:eastAsia="宋体" w:hAnsi="宋体" w:cs="宋体"/>
          <w:sz w:val="24"/>
        </w:rPr>
        <w:t>技术整合难题：统一智算网络可信数据空间的技术架构、</w:t>
      </w:r>
      <w:r>
        <w:rPr>
          <w:rFonts w:ascii="宋体" w:eastAsia="宋体" w:hAnsi="宋体" w:cs="宋体" w:hint="eastAsia"/>
          <w:sz w:val="24"/>
        </w:rPr>
        <w:t>功能要求与</w:t>
      </w:r>
      <w:r>
        <w:rPr>
          <w:rFonts w:ascii="宋体" w:eastAsia="宋体" w:hAnsi="宋体" w:cs="宋体"/>
          <w:sz w:val="24"/>
        </w:rPr>
        <w:t>接口规范，解决当前隐私计算、可信计算等核心技术体系不兼容、系统整合繁琐的问题，减少各智算节点、数据平台之间的适配成本，降低系统开发、</w:t>
      </w:r>
      <w:r>
        <w:rPr>
          <w:rFonts w:ascii="宋体" w:eastAsia="宋体" w:hAnsi="宋体" w:cs="宋体"/>
          <w:sz w:val="24"/>
        </w:rPr>
        <w:lastRenderedPageBreak/>
        <w:t>部署及维护的复杂度和整体成本</w:t>
      </w:r>
      <w:r>
        <w:rPr>
          <w:rFonts w:ascii="宋体" w:eastAsia="宋体" w:hAnsi="宋体" w:cs="宋体" w:hint="eastAsia"/>
          <w:sz w:val="24"/>
        </w:rPr>
        <w:t>。</w:t>
      </w:r>
    </w:p>
    <w:p w14:paraId="4206CABC"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2）打破数据孤岛，激活数据要素价值：规范化智算网络中可信数据空间的数据交互、数据管控流程，建立多方互信机制，打消数据提供方“不敢共享、不愿共享、不能共享”的顾虑，鼓励智算领域各类数据资源提供方参与数据流通，推动数据要素在智算网络中合规流动，充分释放数据与算力融合的价值潜力；</w:t>
      </w:r>
    </w:p>
    <w:p w14:paraId="7DC82741"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3）完善可信管控与流通机制缺失问题：明确智算网络可信数据空间中数据上架发布、基于合约策略的使用控制、数据结果审查与审计的全生命周期可信管控机制，消除数据访问、传输、计算过程中的安全与隐私泄露顾虑，打通多智算中心、多领域数据节点的流通通道，支撑全国一体化算力网的数据协同需求。</w:t>
      </w:r>
    </w:p>
    <w:p w14:paraId="03BBC966" w14:textId="77777777" w:rsidR="00D67E75" w:rsidRDefault="00D67E75">
      <w:pPr>
        <w:spacing w:line="360" w:lineRule="auto"/>
        <w:ind w:firstLineChars="200" w:firstLine="480"/>
        <w:rPr>
          <w:rFonts w:ascii="宋体" w:eastAsia="宋体" w:hAnsi="宋体" w:cs="宋体"/>
          <w:sz w:val="24"/>
        </w:rPr>
      </w:pPr>
    </w:p>
    <w:p w14:paraId="562A0A25" w14:textId="77777777" w:rsidR="00D67E75" w:rsidRDefault="00000000">
      <w:pPr>
        <w:numPr>
          <w:ilvl w:val="0"/>
          <w:numId w:val="1"/>
        </w:numPr>
        <w:spacing w:line="360" w:lineRule="auto"/>
        <w:rPr>
          <w:rFonts w:ascii="宋体" w:eastAsia="宋体" w:hAnsi="宋体" w:cs="宋体"/>
          <w:b/>
          <w:bCs/>
          <w:sz w:val="24"/>
        </w:rPr>
      </w:pPr>
      <w:r>
        <w:rPr>
          <w:rFonts w:ascii="宋体" w:eastAsia="宋体" w:hAnsi="宋体" w:cs="宋体" w:hint="eastAsia"/>
          <w:b/>
          <w:bCs/>
          <w:sz w:val="24"/>
        </w:rPr>
        <w:t>主要</w:t>
      </w:r>
      <w:r>
        <w:rPr>
          <w:rFonts w:hint="eastAsia"/>
          <w:b/>
          <w:color w:val="000000"/>
          <w:sz w:val="24"/>
        </w:rPr>
        <w:t>试验</w:t>
      </w:r>
      <w:r>
        <w:rPr>
          <w:rFonts w:ascii="楷体_GB2312" w:eastAsia="楷体_GB2312" w:hint="eastAsia"/>
          <w:b/>
          <w:color w:val="000000"/>
          <w:szCs w:val="21"/>
        </w:rPr>
        <w:t>[或验证]</w:t>
      </w:r>
      <w:r>
        <w:rPr>
          <w:rFonts w:hint="eastAsia"/>
          <w:b/>
          <w:color w:val="000000"/>
          <w:sz w:val="24"/>
        </w:rPr>
        <w:t>情</w:t>
      </w:r>
      <w:r>
        <w:rPr>
          <w:rFonts w:ascii="宋体" w:eastAsia="宋体" w:hAnsi="宋体" w:cs="宋体" w:hint="eastAsia"/>
          <w:b/>
          <w:bCs/>
          <w:sz w:val="24"/>
        </w:rPr>
        <w:t>况分析</w:t>
      </w:r>
    </w:p>
    <w:p w14:paraId="56097348"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标准通过定义清晰的技术架构、功能要求以及接口规范，可作为智算网络中可信数据空间的核心技术与实施方案，既能确保智算相关数据资源在智算网络各节点间高效流通、协同计算，又可确保数据交易、算力调度过程的规范性、安全性与可追溯性。标准中所涉及的数据发布与受控策略接口、安全流通共享流程、数据结果审查方案等，已在多个智算中心、可信数据空间试点场景（含数据交易所数据安全交付、电力网络维护优化等应用领域）进行验证和测试，已被证明确实可行，能够满足智算网络可信数据空间的实际建设与运营需求。</w:t>
      </w:r>
    </w:p>
    <w:p w14:paraId="560ABA15" w14:textId="77777777" w:rsidR="00D67E75" w:rsidRDefault="00D67E75">
      <w:pPr>
        <w:spacing w:line="360" w:lineRule="auto"/>
        <w:ind w:firstLineChars="200" w:firstLine="480"/>
        <w:rPr>
          <w:rFonts w:ascii="宋体" w:eastAsia="宋体" w:hAnsi="宋体" w:cs="宋体"/>
          <w:sz w:val="24"/>
        </w:rPr>
      </w:pPr>
    </w:p>
    <w:p w14:paraId="74918A92" w14:textId="77777777" w:rsidR="00D67E75" w:rsidRDefault="00000000">
      <w:pPr>
        <w:numPr>
          <w:ilvl w:val="0"/>
          <w:numId w:val="1"/>
        </w:numPr>
        <w:spacing w:line="360" w:lineRule="auto"/>
        <w:rPr>
          <w:rFonts w:ascii="宋体" w:eastAsia="宋体" w:hAnsi="宋体" w:cs="宋体"/>
          <w:b/>
          <w:bCs/>
          <w:sz w:val="24"/>
        </w:rPr>
      </w:pPr>
      <w:r>
        <w:rPr>
          <w:rFonts w:ascii="宋体" w:eastAsia="宋体" w:hAnsi="宋体" w:cs="宋体" w:hint="eastAsia"/>
          <w:b/>
          <w:bCs/>
          <w:sz w:val="24"/>
        </w:rPr>
        <w:t>知识产权情况说明</w:t>
      </w:r>
    </w:p>
    <w:p w14:paraId="13BF4E4E" w14:textId="77777777" w:rsidR="00D67E75" w:rsidRDefault="00000000">
      <w:pPr>
        <w:spacing w:line="360" w:lineRule="auto"/>
        <w:ind w:firstLineChars="200" w:firstLine="480"/>
        <w:rPr>
          <w:rFonts w:ascii="宋体" w:eastAsia="宋体" w:hAnsi="宋体" w:cs="宋体"/>
          <w:sz w:val="24"/>
        </w:rPr>
      </w:pPr>
      <w:r>
        <w:rPr>
          <w:rFonts w:eastAsia="宋体" w:hAnsi="Times New Roman" w:cs="Times New Roman" w:hint="eastAsia"/>
          <w:sz w:val="24"/>
        </w:rPr>
        <w:t>本标准不涉及任何专利及知识产权。</w:t>
      </w:r>
    </w:p>
    <w:p w14:paraId="0272C781" w14:textId="77777777" w:rsidR="00D67E75" w:rsidRDefault="00D67E75">
      <w:pPr>
        <w:spacing w:line="360" w:lineRule="auto"/>
        <w:ind w:firstLineChars="200" w:firstLine="480"/>
        <w:rPr>
          <w:rFonts w:ascii="宋体" w:eastAsia="宋体" w:hAnsi="宋体" w:cs="宋体"/>
          <w:sz w:val="24"/>
        </w:rPr>
      </w:pPr>
    </w:p>
    <w:p w14:paraId="085C561D" w14:textId="77777777" w:rsidR="00D67E75" w:rsidRDefault="00000000">
      <w:pPr>
        <w:numPr>
          <w:ilvl w:val="0"/>
          <w:numId w:val="1"/>
        </w:numPr>
        <w:spacing w:line="360" w:lineRule="auto"/>
        <w:rPr>
          <w:rFonts w:ascii="宋体" w:eastAsia="宋体" w:hAnsi="宋体" w:cs="宋体"/>
          <w:b/>
          <w:bCs/>
          <w:sz w:val="24"/>
        </w:rPr>
      </w:pPr>
      <w:r>
        <w:rPr>
          <w:rFonts w:ascii="宋体" w:eastAsia="宋体" w:hAnsi="宋体" w:cs="宋体" w:hint="eastAsia"/>
          <w:b/>
          <w:bCs/>
          <w:sz w:val="24"/>
        </w:rPr>
        <w:t>采用国际标准和国外先进标准情况</w:t>
      </w:r>
    </w:p>
    <w:p w14:paraId="59605D7E"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本部分参考了IEEE 3158-2024 《</w:t>
      </w:r>
      <w:r>
        <w:rPr>
          <w:rFonts w:ascii="宋体" w:eastAsia="宋体" w:hAnsi="宋体" w:cs="宋体"/>
          <w:sz w:val="24"/>
        </w:rPr>
        <w:t>IEEE Standard for Trusted Data Matrix System Architecture</w:t>
      </w:r>
      <w:r>
        <w:rPr>
          <w:rFonts w:ascii="宋体" w:eastAsia="宋体" w:hAnsi="宋体" w:cs="宋体" w:hint="eastAsia"/>
          <w:sz w:val="24"/>
        </w:rPr>
        <w:t>》中关于数据流通涉及到的角色以及相关功能描述，本标准给出了更为具体且更贴合算力网络环境的功能与接口规范描述。术语和定义参考了国家数据局发布《数据领域常用名词解释》以及《可信数据空间发展行动计划（2024—2028 年）》。本标准提到的相关术语和功能描述不与以上国际标准重复或冲突。</w:t>
      </w:r>
    </w:p>
    <w:p w14:paraId="60EF9C21" w14:textId="77777777" w:rsidR="00D67E75" w:rsidRDefault="00D67E75">
      <w:pPr>
        <w:spacing w:line="360" w:lineRule="auto"/>
        <w:ind w:firstLineChars="200" w:firstLine="480"/>
        <w:rPr>
          <w:rFonts w:ascii="宋体" w:eastAsia="宋体" w:hAnsi="宋体" w:cs="宋体"/>
          <w:sz w:val="24"/>
        </w:rPr>
      </w:pPr>
    </w:p>
    <w:p w14:paraId="63458816" w14:textId="77777777" w:rsidR="00D67E75" w:rsidRDefault="00000000">
      <w:pPr>
        <w:numPr>
          <w:ilvl w:val="0"/>
          <w:numId w:val="1"/>
        </w:numPr>
        <w:spacing w:line="360" w:lineRule="auto"/>
        <w:rPr>
          <w:rFonts w:ascii="宋体" w:eastAsia="宋体" w:hAnsi="宋体" w:cs="宋体"/>
          <w:b/>
          <w:bCs/>
          <w:sz w:val="24"/>
        </w:rPr>
      </w:pPr>
      <w:r>
        <w:rPr>
          <w:rFonts w:ascii="宋体" w:eastAsia="宋体" w:hAnsi="宋体" w:cs="宋体" w:hint="eastAsia"/>
          <w:b/>
          <w:bCs/>
          <w:sz w:val="24"/>
        </w:rPr>
        <w:t>与现行相关法律、法规、规章及相关标准的协调性</w:t>
      </w:r>
    </w:p>
    <w:p w14:paraId="06430133" w14:textId="77777777" w:rsidR="00D67E75" w:rsidRDefault="00000000">
      <w:pPr>
        <w:spacing w:line="360" w:lineRule="auto"/>
        <w:ind w:left="482"/>
        <w:rPr>
          <w:rFonts w:hAnsi="宋体"/>
          <w:color w:val="000000"/>
          <w:sz w:val="24"/>
        </w:rPr>
      </w:pPr>
      <w:r>
        <w:rPr>
          <w:rFonts w:hAnsi="宋体" w:hint="eastAsia"/>
          <w:color w:val="000000"/>
          <w:sz w:val="24"/>
        </w:rPr>
        <w:t>本标准与现行相关法律、法规、规章及相关标准协调一致。</w:t>
      </w:r>
    </w:p>
    <w:p w14:paraId="5391B18E" w14:textId="77777777" w:rsidR="00D67E75" w:rsidRDefault="00D67E75">
      <w:pPr>
        <w:spacing w:line="360" w:lineRule="auto"/>
        <w:ind w:left="482"/>
        <w:rPr>
          <w:rFonts w:ascii="宋体" w:eastAsia="宋体" w:hAnsi="宋体" w:cs="宋体"/>
          <w:b/>
          <w:bCs/>
          <w:sz w:val="24"/>
        </w:rPr>
      </w:pPr>
    </w:p>
    <w:p w14:paraId="17557EFD" w14:textId="77777777" w:rsidR="00D67E75" w:rsidRDefault="00000000">
      <w:pPr>
        <w:numPr>
          <w:ilvl w:val="0"/>
          <w:numId w:val="1"/>
        </w:numPr>
        <w:spacing w:line="360" w:lineRule="auto"/>
        <w:rPr>
          <w:rFonts w:ascii="宋体" w:eastAsia="宋体" w:hAnsi="宋体" w:cs="宋体"/>
          <w:b/>
          <w:bCs/>
          <w:sz w:val="24"/>
        </w:rPr>
      </w:pPr>
      <w:r>
        <w:rPr>
          <w:rFonts w:ascii="宋体" w:eastAsia="宋体" w:hAnsi="宋体" w:cs="宋体" w:hint="eastAsia"/>
          <w:b/>
          <w:bCs/>
          <w:sz w:val="24"/>
        </w:rPr>
        <w:t>重大分歧意见的处理经过和依据</w:t>
      </w:r>
    </w:p>
    <w:p w14:paraId="45F560B0"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无。</w:t>
      </w:r>
    </w:p>
    <w:p w14:paraId="718B234A" w14:textId="77777777" w:rsidR="00D67E75" w:rsidRDefault="00D67E75">
      <w:pPr>
        <w:spacing w:line="360" w:lineRule="auto"/>
        <w:ind w:firstLineChars="200" w:firstLine="480"/>
        <w:rPr>
          <w:rFonts w:ascii="宋体" w:eastAsia="宋体" w:hAnsi="宋体" w:cs="宋体"/>
          <w:sz w:val="24"/>
        </w:rPr>
      </w:pPr>
    </w:p>
    <w:p w14:paraId="01D5C88B" w14:textId="77777777" w:rsidR="00D67E75" w:rsidRDefault="00000000">
      <w:pPr>
        <w:numPr>
          <w:ilvl w:val="0"/>
          <w:numId w:val="1"/>
        </w:numPr>
        <w:spacing w:line="360" w:lineRule="auto"/>
        <w:rPr>
          <w:rFonts w:ascii="宋体" w:eastAsia="宋体" w:hAnsi="宋体" w:cs="宋体"/>
          <w:b/>
          <w:bCs/>
          <w:sz w:val="24"/>
        </w:rPr>
      </w:pPr>
      <w:r>
        <w:rPr>
          <w:rFonts w:ascii="宋体" w:eastAsia="宋体" w:hAnsi="宋体" w:cs="宋体" w:hint="eastAsia"/>
          <w:b/>
          <w:bCs/>
          <w:sz w:val="24"/>
        </w:rPr>
        <w:t>标准性质的建议</w:t>
      </w:r>
    </w:p>
    <w:p w14:paraId="017B3D50"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建议发布为推荐性标准。</w:t>
      </w:r>
    </w:p>
    <w:p w14:paraId="6FEBDE1C" w14:textId="77777777" w:rsidR="00D67E75" w:rsidRDefault="00D67E75">
      <w:pPr>
        <w:spacing w:line="360" w:lineRule="auto"/>
        <w:ind w:firstLineChars="200" w:firstLine="480"/>
        <w:rPr>
          <w:rFonts w:ascii="宋体" w:eastAsia="宋体" w:hAnsi="宋体" w:cs="宋体"/>
          <w:sz w:val="24"/>
        </w:rPr>
      </w:pPr>
    </w:p>
    <w:p w14:paraId="46B4C3EA" w14:textId="77777777" w:rsidR="00D67E75" w:rsidRDefault="00000000">
      <w:pPr>
        <w:numPr>
          <w:ilvl w:val="0"/>
          <w:numId w:val="1"/>
        </w:numPr>
        <w:spacing w:line="360" w:lineRule="auto"/>
        <w:rPr>
          <w:rFonts w:ascii="宋体" w:eastAsia="宋体" w:hAnsi="宋体" w:cs="宋体"/>
          <w:b/>
          <w:bCs/>
          <w:sz w:val="24"/>
        </w:rPr>
      </w:pPr>
      <w:r>
        <w:rPr>
          <w:rFonts w:ascii="宋体" w:eastAsia="宋体" w:hAnsi="宋体" w:cs="宋体" w:hint="eastAsia"/>
          <w:b/>
          <w:bCs/>
          <w:sz w:val="24"/>
        </w:rPr>
        <w:t>贯彻标准的要求和措施建议</w:t>
      </w:r>
    </w:p>
    <w:p w14:paraId="1FCCB676"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本部分可单独使用，并宜与《人工智能算力网络》系列标准搭配使用。</w:t>
      </w:r>
    </w:p>
    <w:p w14:paraId="0B80872A" w14:textId="77777777" w:rsidR="00D67E75" w:rsidRDefault="00D67E75">
      <w:pPr>
        <w:spacing w:line="360" w:lineRule="auto"/>
        <w:ind w:firstLineChars="200" w:firstLine="480"/>
        <w:rPr>
          <w:rFonts w:ascii="宋体" w:eastAsia="宋体" w:hAnsi="宋体" w:cs="宋体"/>
          <w:sz w:val="24"/>
        </w:rPr>
      </w:pPr>
    </w:p>
    <w:p w14:paraId="5CCE15DF" w14:textId="77777777" w:rsidR="00D67E75" w:rsidRDefault="00000000">
      <w:pPr>
        <w:numPr>
          <w:ilvl w:val="0"/>
          <w:numId w:val="1"/>
        </w:numPr>
        <w:spacing w:line="360" w:lineRule="auto"/>
        <w:rPr>
          <w:rFonts w:ascii="宋体" w:eastAsia="宋体" w:hAnsi="宋体" w:cs="宋体"/>
          <w:b/>
          <w:bCs/>
          <w:sz w:val="24"/>
        </w:rPr>
      </w:pPr>
      <w:r>
        <w:rPr>
          <w:rFonts w:ascii="宋体" w:eastAsia="宋体" w:hAnsi="宋体" w:cs="宋体" w:hint="eastAsia"/>
          <w:b/>
          <w:bCs/>
          <w:sz w:val="24"/>
        </w:rPr>
        <w:t>替代或废止现行相关标准的建议</w:t>
      </w:r>
    </w:p>
    <w:p w14:paraId="6929EE04"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无。</w:t>
      </w:r>
    </w:p>
    <w:p w14:paraId="089CFFC6" w14:textId="77777777" w:rsidR="00D67E75" w:rsidRDefault="00D67E75">
      <w:pPr>
        <w:spacing w:line="360" w:lineRule="auto"/>
        <w:ind w:firstLineChars="200" w:firstLine="480"/>
        <w:rPr>
          <w:rFonts w:ascii="宋体" w:eastAsia="宋体" w:hAnsi="宋体" w:cs="宋体"/>
          <w:sz w:val="24"/>
        </w:rPr>
      </w:pPr>
    </w:p>
    <w:p w14:paraId="0A0D0D20" w14:textId="77777777" w:rsidR="00D67E75" w:rsidRDefault="00000000">
      <w:pPr>
        <w:numPr>
          <w:ilvl w:val="0"/>
          <w:numId w:val="1"/>
        </w:numPr>
        <w:spacing w:line="360" w:lineRule="auto"/>
        <w:rPr>
          <w:rFonts w:ascii="宋体" w:eastAsia="宋体" w:hAnsi="宋体" w:cs="宋体"/>
          <w:b/>
          <w:bCs/>
          <w:sz w:val="24"/>
        </w:rPr>
      </w:pPr>
      <w:r>
        <w:rPr>
          <w:rFonts w:ascii="宋体" w:eastAsia="宋体" w:hAnsi="宋体" w:cs="宋体" w:hint="eastAsia"/>
          <w:b/>
          <w:bCs/>
          <w:sz w:val="24"/>
        </w:rPr>
        <w:t>其它应予说明的事项</w:t>
      </w:r>
    </w:p>
    <w:p w14:paraId="31BD2EF6" w14:textId="77777777" w:rsidR="00D67E75"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无。</w:t>
      </w:r>
    </w:p>
    <w:p w14:paraId="41BF5EE5" w14:textId="77777777" w:rsidR="00D67E75" w:rsidRDefault="00D67E75">
      <w:pPr>
        <w:spacing w:line="360" w:lineRule="auto"/>
        <w:jc w:val="right"/>
        <w:rPr>
          <w:rFonts w:ascii="宋体" w:eastAsia="宋体" w:hAnsi="宋体" w:cs="宋体"/>
          <w:sz w:val="24"/>
        </w:rPr>
      </w:pPr>
    </w:p>
    <w:p w14:paraId="65A854A0" w14:textId="77777777" w:rsidR="00D67E75" w:rsidRDefault="00D67E75">
      <w:pPr>
        <w:spacing w:line="360" w:lineRule="auto"/>
        <w:jc w:val="right"/>
        <w:rPr>
          <w:rFonts w:ascii="宋体" w:eastAsia="宋体" w:hAnsi="宋体" w:cs="宋体"/>
          <w:sz w:val="24"/>
        </w:rPr>
      </w:pPr>
    </w:p>
    <w:p w14:paraId="05C36B60" w14:textId="77777777" w:rsidR="00D67E75" w:rsidRDefault="00D67E75">
      <w:pPr>
        <w:spacing w:line="360" w:lineRule="auto"/>
        <w:jc w:val="right"/>
        <w:rPr>
          <w:rFonts w:ascii="宋体" w:eastAsia="宋体" w:hAnsi="宋体" w:cs="宋体"/>
          <w:sz w:val="24"/>
        </w:rPr>
      </w:pPr>
    </w:p>
    <w:p w14:paraId="34FAEEE8" w14:textId="77777777" w:rsidR="00D67E75" w:rsidRDefault="00D67E75">
      <w:pPr>
        <w:spacing w:line="360" w:lineRule="auto"/>
        <w:jc w:val="right"/>
        <w:rPr>
          <w:rFonts w:ascii="宋体" w:eastAsia="宋体" w:hAnsi="宋体" w:cs="宋体"/>
          <w:sz w:val="24"/>
        </w:rPr>
      </w:pPr>
    </w:p>
    <w:p w14:paraId="19AC1A7E" w14:textId="77777777" w:rsidR="00D67E75" w:rsidRDefault="00D67E75">
      <w:pPr>
        <w:spacing w:line="360" w:lineRule="auto"/>
        <w:jc w:val="right"/>
        <w:rPr>
          <w:rFonts w:ascii="宋体" w:eastAsia="宋体" w:hAnsi="宋体" w:cs="宋体"/>
          <w:sz w:val="24"/>
        </w:rPr>
      </w:pPr>
    </w:p>
    <w:p w14:paraId="7A810FF0" w14:textId="77777777" w:rsidR="00D67E75" w:rsidRDefault="00000000">
      <w:pPr>
        <w:spacing w:line="360" w:lineRule="auto"/>
        <w:jc w:val="right"/>
        <w:rPr>
          <w:rFonts w:ascii="宋体" w:eastAsia="宋体" w:hAnsi="宋体" w:cs="宋体"/>
          <w:sz w:val="24"/>
        </w:rPr>
      </w:pPr>
      <w:r>
        <w:rPr>
          <w:rFonts w:ascii="宋体" w:eastAsia="宋体" w:hAnsi="宋体" w:cs="宋体" w:hint="eastAsia"/>
          <w:sz w:val="24"/>
        </w:rPr>
        <w:t>团体标准《第14部分数据与模型安全-可信数据空间》编制工作组</w:t>
      </w:r>
    </w:p>
    <w:p w14:paraId="444D64EC" w14:textId="77777777" w:rsidR="00D67E75" w:rsidRDefault="00000000">
      <w:pPr>
        <w:spacing w:line="360" w:lineRule="auto"/>
        <w:jc w:val="right"/>
        <w:rPr>
          <w:rFonts w:ascii="宋体" w:eastAsia="宋体" w:hAnsi="宋体" w:cs="宋体"/>
          <w:sz w:val="24"/>
        </w:rPr>
      </w:pPr>
      <w:r>
        <w:rPr>
          <w:rFonts w:ascii="宋体" w:eastAsia="宋体" w:hAnsi="宋体" w:cs="宋体" w:hint="eastAsia"/>
          <w:sz w:val="24"/>
        </w:rPr>
        <w:t>2026-03</w:t>
      </w:r>
    </w:p>
    <w:p w14:paraId="1A83CA7D" w14:textId="77777777" w:rsidR="00D67E75" w:rsidRDefault="00D67E75"/>
    <w:sectPr w:rsidR="00D67E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FF2E02"/>
    <w:multiLevelType w:val="singleLevel"/>
    <w:tmpl w:val="E3FF2E02"/>
    <w:lvl w:ilvl="0">
      <w:start w:val="1"/>
      <w:numFmt w:val="chineseCounting"/>
      <w:suff w:val="nothing"/>
      <w:lvlText w:val="%1、"/>
      <w:lvlJc w:val="left"/>
      <w:rPr>
        <w:rFonts w:hint="eastAsia"/>
      </w:rPr>
    </w:lvl>
  </w:abstractNum>
  <w:abstractNum w:abstractNumId="1" w15:restartNumberingAfterBreak="0">
    <w:nsid w:val="200E7C45"/>
    <w:multiLevelType w:val="multilevel"/>
    <w:tmpl w:val="200E7C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05539637">
    <w:abstractNumId w:val="0"/>
  </w:num>
  <w:num w:numId="2" w16cid:durableId="89358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57C30AE"/>
    <w:rsid w:val="00127C23"/>
    <w:rsid w:val="00187142"/>
    <w:rsid w:val="00710EDC"/>
    <w:rsid w:val="008447CC"/>
    <w:rsid w:val="00B31392"/>
    <w:rsid w:val="00D67E75"/>
    <w:rsid w:val="00EF62A6"/>
    <w:rsid w:val="02D07DB8"/>
    <w:rsid w:val="0339658D"/>
    <w:rsid w:val="07CE3ADB"/>
    <w:rsid w:val="09DE4086"/>
    <w:rsid w:val="14CB6665"/>
    <w:rsid w:val="1BD571C1"/>
    <w:rsid w:val="1FD75D28"/>
    <w:rsid w:val="23C40371"/>
    <w:rsid w:val="2D2F6A09"/>
    <w:rsid w:val="2E383E35"/>
    <w:rsid w:val="31401D64"/>
    <w:rsid w:val="33755E91"/>
    <w:rsid w:val="37BD503C"/>
    <w:rsid w:val="3FEA38F1"/>
    <w:rsid w:val="4AB808B0"/>
    <w:rsid w:val="4B8167F0"/>
    <w:rsid w:val="50CE6F9F"/>
    <w:rsid w:val="557C30AE"/>
    <w:rsid w:val="5A680C46"/>
    <w:rsid w:val="5DE14AE4"/>
    <w:rsid w:val="615D1713"/>
    <w:rsid w:val="652A33F5"/>
    <w:rsid w:val="65516FAF"/>
    <w:rsid w:val="670D1A13"/>
    <w:rsid w:val="6C411B2C"/>
    <w:rsid w:val="6E665FDB"/>
    <w:rsid w:val="71CD4FC5"/>
    <w:rsid w:val="725A7F1D"/>
    <w:rsid w:val="73FB078F"/>
    <w:rsid w:val="78AB1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8825B"/>
  <w15:docId w15:val="{63591BA1-FFC7-4536-AF9D-37EE86EF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rPr>
      <w:sz w:val="18"/>
      <w:szCs w:val="18"/>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rPr>
      <w:b/>
      <w:bCs/>
    </w:rPr>
  </w:style>
  <w:style w:type="character" w:styleId="ad">
    <w:name w:val="annotation reference"/>
    <w:basedOn w:val="a0"/>
    <w:rPr>
      <w:sz w:val="21"/>
      <w:szCs w:val="21"/>
    </w:rPr>
  </w:style>
  <w:style w:type="paragraph" w:styleId="ae">
    <w:name w:val="List Paragraph"/>
    <w:basedOn w:val="a"/>
    <w:uiPriority w:val="99"/>
    <w:qFormat/>
    <w:pPr>
      <w:ind w:firstLineChars="200" w:firstLine="420"/>
    </w:p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rPr>
      <w:rFonts w:asciiTheme="minorHAnsi" w:eastAsiaTheme="minorEastAsia" w:hAnsiTheme="minorHAnsi" w:cstheme="minorBidi"/>
      <w:kern w:val="2"/>
      <w:sz w:val="18"/>
      <w:szCs w:val="18"/>
    </w:rPr>
  </w:style>
  <w:style w:type="character" w:customStyle="1" w:styleId="a4">
    <w:name w:val="批注文字 字符"/>
    <w:basedOn w:val="a0"/>
    <w:link w:val="a3"/>
    <w:rPr>
      <w:rFonts w:asciiTheme="minorHAnsi" w:eastAsiaTheme="minorEastAsia" w:hAnsiTheme="minorHAnsi" w:cstheme="minorBidi"/>
      <w:kern w:val="2"/>
      <w:sz w:val="21"/>
      <w:szCs w:val="24"/>
    </w:rPr>
  </w:style>
  <w:style w:type="character" w:customStyle="1" w:styleId="ac">
    <w:name w:val="批注主题 字符"/>
    <w:basedOn w:val="a4"/>
    <w:link w:val="ab"/>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392</Words>
  <Characters>2236</Characters>
  <Application>Microsoft Office Word</Application>
  <DocSecurity>0</DocSecurity>
  <Lines>18</Lines>
  <Paragraphs>5</Paragraphs>
  <ScaleCrop>false</ScaleCrop>
  <Company>神州网信技术有限公司</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上山打猫</dc:creator>
  <cp:lastModifiedBy>cxr@aitisa.org.cn</cp:lastModifiedBy>
  <cp:revision>5</cp:revision>
  <dcterms:created xsi:type="dcterms:W3CDTF">2025-10-16T03:06:00Z</dcterms:created>
  <dcterms:modified xsi:type="dcterms:W3CDTF">2026-05-28T09:29:00Z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1DA028847F514502ADC9597592DF4E43_13</vt:lpwstr>
  </property>
  <property fmtid="{D5CDD505-2E9C-101B-9397-08002B2CF9AE}" pid="4" name="KSOTemplateDocerSaveRecord">
    <vt:lpwstr>eyJoZGlkIjoiMjQzMmRhZTk1MGI3MThiNTcyMzBjMTE3NTJmYzVmYzMiLCJ1c2VySWQiOiIxMTcyMTIxOTMzIn0=</vt:lpwstr>
  </property>
</Properties>
</file>