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65AA" w14:textId="77777777" w:rsidR="00670C88" w:rsidRDefault="00000000">
      <w:pPr>
        <w:adjustRightInd w:val="0"/>
        <w:spacing w:line="400" w:lineRule="exact"/>
        <w:ind w:firstLine="540"/>
        <w:jc w:val="center"/>
        <w:rPr>
          <w:rFonts w:ascii="宋体" w:eastAsia="宋体" w:hAnsi="宋体" w:cs="宋体" w:hint="eastAsia"/>
          <w:sz w:val="30"/>
          <w:szCs w:val="30"/>
        </w:rPr>
      </w:pPr>
      <w:r>
        <w:rPr>
          <w:rFonts w:ascii="宋体" w:eastAsia="宋体" w:hAnsi="宋体" w:cs="宋体" w:hint="eastAsia"/>
          <w:sz w:val="30"/>
          <w:szCs w:val="30"/>
        </w:rPr>
        <w:t>团体标准《人工智能算力网络 第8部分：应用层接口》</w:t>
      </w:r>
    </w:p>
    <w:p w14:paraId="0348A893" w14:textId="77777777" w:rsidR="00670C88" w:rsidRDefault="00000000">
      <w:pPr>
        <w:adjustRightInd w:val="0"/>
        <w:spacing w:line="400" w:lineRule="exact"/>
        <w:ind w:firstLine="540"/>
        <w:jc w:val="center"/>
        <w:rPr>
          <w:rFonts w:ascii="宋体" w:eastAsia="宋体" w:hAnsi="宋体" w:cs="宋体" w:hint="eastAsia"/>
          <w:sz w:val="30"/>
          <w:szCs w:val="30"/>
        </w:rPr>
      </w:pPr>
      <w:r>
        <w:rPr>
          <w:rFonts w:ascii="宋体" w:eastAsia="宋体" w:hAnsi="宋体" w:cs="宋体" w:hint="eastAsia"/>
          <w:sz w:val="30"/>
          <w:szCs w:val="30"/>
        </w:rPr>
        <w:t>编制说明</w:t>
      </w:r>
    </w:p>
    <w:p w14:paraId="3F870FBA" w14:textId="77777777" w:rsidR="00670C88" w:rsidRDefault="00670C88"/>
    <w:p w14:paraId="73F978E6" w14:textId="77777777" w:rsidR="00670C88" w:rsidRDefault="00000000">
      <w:pPr>
        <w:pStyle w:val="af0"/>
        <w:numPr>
          <w:ilvl w:val="0"/>
          <w:numId w:val="1"/>
        </w:numPr>
        <w:adjustRightInd w:val="0"/>
        <w:spacing w:line="360" w:lineRule="auto"/>
        <w:ind w:firstLineChars="0"/>
        <w:outlineLvl w:val="0"/>
        <w:rPr>
          <w:rFonts w:ascii="宋体" w:eastAsia="宋体" w:hAnsi="宋体" w:cs="Times New Roman" w:hint="eastAsia"/>
          <w:b/>
          <w:bCs/>
          <w:sz w:val="24"/>
          <w:szCs w:val="21"/>
        </w:rPr>
      </w:pPr>
      <w:bookmarkStart w:id="0" w:name="_Toc21842"/>
      <w:r>
        <w:rPr>
          <w:rFonts w:ascii="宋体" w:eastAsia="宋体" w:hAnsi="宋体" w:cs="Times New Roman" w:hint="eastAsia"/>
          <w:b/>
          <w:bCs/>
          <w:sz w:val="24"/>
          <w:szCs w:val="21"/>
        </w:rPr>
        <w:t>工作简况</w:t>
      </w:r>
      <w:bookmarkEnd w:id="0"/>
    </w:p>
    <w:p w14:paraId="48692D19" w14:textId="77777777" w:rsidR="00670C88" w:rsidRDefault="00000000">
      <w:pPr>
        <w:spacing w:line="360" w:lineRule="auto"/>
        <w:ind w:firstLineChars="200" w:firstLine="482"/>
        <w:outlineLvl w:val="1"/>
        <w:rPr>
          <w:rFonts w:ascii="宋体" w:eastAsia="宋体" w:hAnsi="宋体" w:cs="宋体" w:hint="eastAsia"/>
          <w:sz w:val="24"/>
        </w:rPr>
      </w:pPr>
      <w:bookmarkStart w:id="1" w:name="_Toc326"/>
      <w:r>
        <w:rPr>
          <w:rFonts w:ascii="宋体" w:hAnsi="宋体" w:hint="eastAsia"/>
          <w:b/>
          <w:bCs/>
          <w:sz w:val="24"/>
        </w:rPr>
        <w:t>1. 任务来源</w:t>
      </w:r>
      <w:bookmarkEnd w:id="1"/>
    </w:p>
    <w:p w14:paraId="7D1F6887" w14:textId="38FAA396" w:rsidR="00670C88" w:rsidRDefault="003E159D">
      <w:pPr>
        <w:spacing w:line="360" w:lineRule="auto"/>
        <w:ind w:firstLineChars="200" w:firstLine="480"/>
        <w:rPr>
          <w:rFonts w:ascii="宋体" w:eastAsia="宋体" w:hAnsi="宋体" w:cs="宋体" w:hint="eastAsia"/>
          <w:sz w:val="24"/>
        </w:rPr>
      </w:pPr>
      <w:r w:rsidRPr="003E159D">
        <w:rPr>
          <w:rFonts w:ascii="宋体" w:eastAsia="宋体" w:hAnsi="宋体" w:cs="宋体"/>
          <w:sz w:val="24"/>
        </w:rPr>
        <w:t>2023年</w:t>
      </w:r>
      <w:r w:rsidR="005928A3">
        <w:rPr>
          <w:rFonts w:ascii="宋体" w:eastAsia="宋体" w:hAnsi="宋体" w:cs="宋体" w:hint="eastAsia"/>
          <w:sz w:val="24"/>
        </w:rPr>
        <w:t>6</w:t>
      </w:r>
      <w:r w:rsidRPr="003E159D">
        <w:rPr>
          <w:rFonts w:ascii="宋体" w:eastAsia="宋体" w:hAnsi="宋体" w:cs="宋体"/>
          <w:sz w:val="24"/>
        </w:rPr>
        <w:t>月，根据中关村视听产业技术创新联盟2023年标准制修订计划的安排（AITISA【2023】</w:t>
      </w:r>
      <w:r w:rsidR="005928A3">
        <w:rPr>
          <w:rFonts w:ascii="宋体" w:eastAsia="宋体" w:hAnsi="宋体" w:cs="宋体" w:hint="eastAsia"/>
          <w:sz w:val="24"/>
        </w:rPr>
        <w:t>5</w:t>
      </w:r>
      <w:r w:rsidRPr="003E159D">
        <w:rPr>
          <w:rFonts w:ascii="宋体" w:eastAsia="宋体" w:hAnsi="宋体" w:cs="宋体"/>
          <w:sz w:val="24"/>
        </w:rPr>
        <w:t>号文），下达了由鹏城实验室牵头制定团体标准《人工智能算力网络 第</w:t>
      </w:r>
      <w:r w:rsidR="004B7EA3">
        <w:rPr>
          <w:rFonts w:ascii="宋体" w:eastAsia="宋体" w:hAnsi="宋体" w:cs="宋体" w:hint="eastAsia"/>
          <w:sz w:val="24"/>
        </w:rPr>
        <w:t>8</w:t>
      </w:r>
      <w:r w:rsidRPr="003E159D">
        <w:rPr>
          <w:rFonts w:ascii="宋体" w:eastAsia="宋体" w:hAnsi="宋体" w:cs="宋体"/>
          <w:sz w:val="24"/>
        </w:rPr>
        <w:t>部分：</w:t>
      </w:r>
      <w:r w:rsidR="00070251">
        <w:rPr>
          <w:rFonts w:ascii="宋体" w:eastAsia="宋体" w:hAnsi="宋体" w:cs="宋体" w:hint="eastAsia"/>
          <w:sz w:val="24"/>
        </w:rPr>
        <w:t>应用层接口</w:t>
      </w:r>
      <w:r w:rsidRPr="003E159D">
        <w:rPr>
          <w:rFonts w:ascii="宋体" w:eastAsia="宋体" w:hAnsi="宋体" w:cs="宋体"/>
          <w:sz w:val="24"/>
        </w:rPr>
        <w:t>》（标准计划号：20230</w:t>
      </w:r>
      <w:r w:rsidR="009C2B2D">
        <w:rPr>
          <w:rFonts w:ascii="宋体" w:eastAsia="宋体" w:hAnsi="宋体" w:cs="宋体" w:hint="eastAsia"/>
          <w:sz w:val="24"/>
        </w:rPr>
        <w:t>62001</w:t>
      </w:r>
      <w:r w:rsidRPr="003E159D">
        <w:rPr>
          <w:rFonts w:ascii="宋体" w:eastAsia="宋体" w:hAnsi="宋体" w:cs="宋体"/>
          <w:sz w:val="24"/>
        </w:rPr>
        <w:t>）的制定任务。</w:t>
      </w:r>
    </w:p>
    <w:p w14:paraId="455711A9" w14:textId="77777777" w:rsidR="00670C88" w:rsidRDefault="00000000">
      <w:pPr>
        <w:spacing w:line="360" w:lineRule="auto"/>
        <w:ind w:firstLineChars="200" w:firstLine="482"/>
        <w:outlineLvl w:val="1"/>
        <w:rPr>
          <w:rFonts w:ascii="宋体" w:hAnsi="宋体" w:hint="eastAsia"/>
          <w:b/>
          <w:bCs/>
          <w:sz w:val="24"/>
        </w:rPr>
      </w:pPr>
      <w:bookmarkStart w:id="2" w:name="_Toc21887"/>
      <w:r>
        <w:rPr>
          <w:rFonts w:ascii="宋体" w:hAnsi="宋体" w:hint="eastAsia"/>
          <w:b/>
          <w:bCs/>
          <w:sz w:val="24"/>
        </w:rPr>
        <w:t>2. 编制组成</w:t>
      </w:r>
      <w:bookmarkEnd w:id="2"/>
    </w:p>
    <w:p w14:paraId="7089D566" w14:textId="77777777" w:rsidR="00670C88" w:rsidRDefault="00000000">
      <w:pPr>
        <w:pStyle w:val="af1"/>
        <w:framePr w:w="0" w:hRule="auto" w:wrap="auto" w:hAnchor="text" w:xAlign="left" w:yAlign="inline"/>
        <w:tabs>
          <w:tab w:val="left" w:pos="0"/>
        </w:tabs>
        <w:spacing w:line="360" w:lineRule="auto"/>
        <w:ind w:firstLineChars="177" w:firstLine="425"/>
        <w:jc w:val="both"/>
        <w:rPr>
          <w:rFonts w:ascii="宋体" w:eastAsia="宋体" w:hAnsi="宋体" w:cs="宋体" w:hint="eastAsia"/>
          <w:sz w:val="24"/>
        </w:rPr>
      </w:pPr>
      <w:r>
        <w:rPr>
          <w:rFonts w:ascii="宋体" w:eastAsia="宋体" w:hAnsi="宋体" w:cs="宋体" w:hint="eastAsia"/>
          <w:sz w:val="24"/>
        </w:rPr>
        <w:t>本项目的主要起草单位包括鹏城实验室，中国联合网络通信有限公司广东省分公司，北京大学，华为技术有限公司。</w:t>
      </w:r>
    </w:p>
    <w:p w14:paraId="5EE63DAA" w14:textId="0B913DCC" w:rsidR="00670C88" w:rsidRDefault="00000000">
      <w:pPr>
        <w:pStyle w:val="af1"/>
        <w:framePr w:w="0" w:hRule="auto" w:wrap="auto" w:hAnchor="text" w:xAlign="left" w:yAlign="inline"/>
        <w:tabs>
          <w:tab w:val="left" w:pos="0"/>
        </w:tabs>
        <w:spacing w:line="360" w:lineRule="auto"/>
        <w:ind w:firstLineChars="177" w:firstLine="425"/>
        <w:jc w:val="both"/>
        <w:rPr>
          <w:rFonts w:ascii="宋体" w:hAnsi="宋体" w:cs="宋体" w:hint="eastAsia"/>
          <w:kern w:val="2"/>
          <w:sz w:val="24"/>
          <w:szCs w:val="24"/>
        </w:rPr>
      </w:pPr>
      <w:r>
        <w:rPr>
          <w:rFonts w:ascii="宋体" w:eastAsia="宋体" w:hAnsi="宋体" w:cs="宋体" w:hint="eastAsia"/>
          <w:sz w:val="24"/>
        </w:rPr>
        <w:t>本项目主要起草人：</w:t>
      </w:r>
      <w:r w:rsidR="007A49E3" w:rsidRPr="007A49E3">
        <w:rPr>
          <w:rFonts w:ascii="宋体" w:eastAsia="宋体" w:hAnsi="宋体" w:cs="宋体"/>
          <w:sz w:val="24"/>
        </w:rPr>
        <w:t>余跃、徐春香、张叶红、杨晓珍、王晖、邹安平、曾楚轩、邓诗贤、杜量</w:t>
      </w:r>
      <w:r w:rsidR="00DF1EEA">
        <w:rPr>
          <w:rFonts w:ascii="宋体" w:eastAsia="宋体" w:hAnsi="宋体" w:cs="宋体" w:hint="eastAsia"/>
          <w:sz w:val="24"/>
        </w:rPr>
        <w:t>、赵海英</w:t>
      </w:r>
      <w:r w:rsidR="007A49E3" w:rsidRPr="007A49E3">
        <w:rPr>
          <w:rFonts w:ascii="宋体" w:eastAsia="宋体" w:hAnsi="宋体" w:cs="宋体"/>
          <w:sz w:val="24"/>
        </w:rPr>
        <w:t>、马晨、邓玲、曾炜、聂永丰</w:t>
      </w:r>
      <w:r>
        <w:rPr>
          <w:rFonts w:ascii="宋体" w:eastAsia="宋体" w:hAnsi="宋体" w:cs="宋体" w:hint="eastAsia"/>
          <w:sz w:val="24"/>
        </w:rPr>
        <w:t>。</w:t>
      </w:r>
    </w:p>
    <w:p w14:paraId="07E51FFE" w14:textId="77777777" w:rsidR="00670C88" w:rsidRDefault="00000000">
      <w:pPr>
        <w:spacing w:line="360" w:lineRule="auto"/>
        <w:ind w:firstLineChars="200" w:firstLine="482"/>
        <w:outlineLvl w:val="1"/>
        <w:rPr>
          <w:rFonts w:ascii="宋体" w:hAnsi="宋体" w:hint="eastAsia"/>
          <w:b/>
          <w:bCs/>
          <w:sz w:val="24"/>
        </w:rPr>
      </w:pPr>
      <w:bookmarkStart w:id="3" w:name="_Toc17088"/>
      <w:r>
        <w:rPr>
          <w:rFonts w:ascii="宋体" w:hAnsi="宋体" w:hint="eastAsia"/>
          <w:b/>
          <w:bCs/>
          <w:sz w:val="24"/>
        </w:rPr>
        <w:t>3. 编制背景</w:t>
      </w:r>
      <w:bookmarkEnd w:id="3"/>
    </w:p>
    <w:p w14:paraId="1E39FCD3" w14:textId="074932B4" w:rsidR="00DE0238" w:rsidRPr="00DE0238" w:rsidRDefault="00DE0238" w:rsidP="00DE0238">
      <w:pPr>
        <w:spacing w:line="360" w:lineRule="auto"/>
        <w:ind w:firstLineChars="200" w:firstLine="480"/>
        <w:rPr>
          <w:rFonts w:ascii="宋体" w:eastAsia="宋体" w:hAnsi="宋体" w:cs="宋体" w:hint="eastAsia"/>
          <w:sz w:val="24"/>
        </w:rPr>
      </w:pPr>
      <w:r w:rsidRPr="00DE0238">
        <w:rPr>
          <w:rFonts w:ascii="宋体" w:eastAsia="宋体" w:hAnsi="宋体" w:cs="宋体"/>
          <w:sz w:val="24"/>
        </w:rPr>
        <w:t>当前，人工智能算力网络技术快速迭代发展，全国各区域计算中心逐步实现互联互通、组网协同，规模化、网络化的人工智能算力网络体系已初步形成。智算网络可实现跨区域算力资源的网络化联通与统一调度，有效打破算力资源地域壁垒，支撑各类人工智能大模型依托全域算力网络完成分布式部署</w:t>
      </w:r>
      <w:r w:rsidR="002664C4">
        <w:rPr>
          <w:rFonts w:ascii="宋体" w:eastAsia="宋体" w:hAnsi="宋体" w:cs="宋体" w:hint="eastAsia"/>
          <w:sz w:val="24"/>
        </w:rPr>
        <w:t>。</w:t>
      </w:r>
    </w:p>
    <w:p w14:paraId="60CA57A0" w14:textId="77777777" w:rsidR="00BA4D25" w:rsidRDefault="003C61FB" w:rsidP="00BA4D25">
      <w:pPr>
        <w:spacing w:line="360" w:lineRule="auto"/>
        <w:ind w:firstLineChars="200" w:firstLine="480"/>
        <w:rPr>
          <w:rFonts w:ascii="宋体" w:eastAsia="宋体" w:hAnsi="宋体" w:cs="宋体" w:hint="eastAsia"/>
          <w:sz w:val="24"/>
        </w:rPr>
      </w:pPr>
      <w:r w:rsidRPr="003C61FB">
        <w:rPr>
          <w:rFonts w:ascii="宋体" w:eastAsia="宋体" w:hAnsi="宋体" w:cs="宋体"/>
          <w:sz w:val="24"/>
        </w:rPr>
        <w:t>目前智算网络接入体系缺乏统一的应用层接口规范，第三方应用、开发者接入智算网络的方式不统一，资源调用、数据交互、服务对接缺乏标准化依据，导致各类应用难以高效复用智算网络的算力、数据、模型等核心资源，制约了个性化智能服务的创新研发与落地。</w:t>
      </w:r>
      <w:r w:rsidR="006A4675" w:rsidRPr="006A4675">
        <w:rPr>
          <w:rFonts w:ascii="宋体" w:eastAsia="宋体" w:hAnsi="宋体" w:cs="宋体"/>
          <w:sz w:val="24"/>
        </w:rPr>
        <w:t>为打通第三方应用便捷接入通道，规范智算网络对外服务能力输出，丰富行业应用场景、完善产业生态体系，亟需制定统一的智算网络应用层接口规范，为各类主体合规、高效使用智算网络资源提供技术依据。</w:t>
      </w:r>
      <w:bookmarkStart w:id="4" w:name="_Toc9899"/>
    </w:p>
    <w:p w14:paraId="065B04B0" w14:textId="1FF04D18" w:rsidR="006A4675" w:rsidRPr="006A4675" w:rsidRDefault="006A4675" w:rsidP="00BA4D25">
      <w:pPr>
        <w:spacing w:line="360" w:lineRule="auto"/>
        <w:ind w:firstLineChars="200" w:firstLine="480"/>
        <w:rPr>
          <w:rFonts w:ascii="宋体" w:eastAsia="宋体" w:hAnsi="宋体" w:cs="宋体" w:hint="eastAsia"/>
          <w:sz w:val="24"/>
        </w:rPr>
      </w:pPr>
      <w:r w:rsidRPr="006A4675">
        <w:rPr>
          <w:rFonts w:ascii="宋体" w:eastAsia="宋体" w:hAnsi="宋体" w:cs="宋体"/>
          <w:sz w:val="24"/>
        </w:rPr>
        <w:t>本标准聚焦智算网络面向第三方应用、开发者等终端用户的接口服务体系，统一规定了接口服务内容、接口基本要求、数据类型及数据格式等核心内容。标准适用于人工智能算力网络服务平台接口的规划设计、开发研发、落地应用及运维管理，可为各类智算网络平台建设、第三方应用接入、行业个性化服务开发提供统一、合规的技术遵循。</w:t>
      </w:r>
    </w:p>
    <w:p w14:paraId="622026C5" w14:textId="77777777" w:rsidR="00670C88" w:rsidRDefault="00000000">
      <w:pPr>
        <w:spacing w:line="360" w:lineRule="auto"/>
        <w:ind w:firstLineChars="200" w:firstLine="482"/>
        <w:outlineLvl w:val="1"/>
        <w:rPr>
          <w:rFonts w:ascii="宋体" w:hAnsi="宋体" w:hint="eastAsia"/>
          <w:b/>
          <w:bCs/>
          <w:sz w:val="24"/>
        </w:rPr>
      </w:pPr>
      <w:r>
        <w:rPr>
          <w:rFonts w:ascii="宋体" w:hAnsi="宋体" w:hint="eastAsia"/>
          <w:b/>
          <w:bCs/>
          <w:sz w:val="24"/>
        </w:rPr>
        <w:lastRenderedPageBreak/>
        <w:t>4. 编制过程</w:t>
      </w:r>
      <w:bookmarkEnd w:id="4"/>
    </w:p>
    <w:p w14:paraId="7F9854D3"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本标准工作组自2022年3月第18次会议开始,讨论启动人工智能算力网络 第8部分：应用层接口标准制定工作，通过了《人工智能算力网络 第8部分：应用层接口需求》提案，并输出需求文档。</w:t>
      </w:r>
    </w:p>
    <w:p w14:paraId="6165F6EE"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2022年6月AI标准工作组第 19次会议通过提案征集书，输出《人工智能算力网络 第8部分：应用层接口 提案征集书》,会上经过讨论修改,通过了《人工智能算力网络 第8部分：应用层接口》草案提案，并输出《人工智能算力网络 第8部分：应用层接口 WD v0.1》。</w:t>
      </w:r>
    </w:p>
    <w:p w14:paraId="334AEDE5"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2022 年 12月第 21 次会议，会上经过讨论修改，通过了《人工智能算力网络 第8部分：应用层接口》草案提案，并输出《人工智能算力网络 第8部分：应用层接口 WD v0.2》。</w:t>
      </w:r>
    </w:p>
    <w:p w14:paraId="09721EE3"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2023年 12月第 25 次会议，会上经过讨论修改，通过了《人工智能算力网络 第8部分：应用层接口》草案提案，并输出《人工智能算力网络 第8部分：应用层接口 WD v0.3》。</w:t>
      </w:r>
    </w:p>
    <w:p w14:paraId="2EA30D62"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2025年12月第33次会议，会上经过讨论修改，通过了《人工智能算力网络 第8部分：应用层接口》草案提案，并输出《人工智能算力网络 第8部分：应用层接口 WD v0.4》。</w:t>
      </w:r>
    </w:p>
    <w:p w14:paraId="589F529D"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2026年3月第34次会议，会上经过讨论修改，通过了《人工智能算力网络 第8部分：应用层接口》草案提案，并输出《人工智能算力网络 第8部分：应用层接口 WD v0.5》，</w:t>
      </w:r>
      <w:r>
        <w:rPr>
          <w:rFonts w:ascii="宋体" w:eastAsia="宋体" w:hAnsi="宋体" w:cs="宋体"/>
          <w:sz w:val="24"/>
        </w:rPr>
        <w:t>同意发布征求意见稿。</w:t>
      </w:r>
    </w:p>
    <w:p w14:paraId="20FC6449" w14:textId="77777777" w:rsidR="00670C88" w:rsidRDefault="00000000">
      <w:pPr>
        <w:spacing w:line="360" w:lineRule="auto"/>
        <w:ind w:firstLineChars="200" w:firstLine="482"/>
        <w:outlineLvl w:val="1"/>
        <w:rPr>
          <w:rFonts w:ascii="宋体" w:hAnsi="宋体" w:hint="eastAsia"/>
          <w:b/>
          <w:bCs/>
          <w:sz w:val="24"/>
        </w:rPr>
      </w:pPr>
      <w:bookmarkStart w:id="5" w:name="_Toc31635"/>
      <w:r>
        <w:rPr>
          <w:rFonts w:ascii="宋体" w:hAnsi="宋体" w:hint="eastAsia"/>
          <w:b/>
          <w:bCs/>
          <w:sz w:val="24"/>
        </w:rPr>
        <w:t>5. 主要起草人所做的工作</w:t>
      </w:r>
      <w:bookmarkEnd w:id="5"/>
    </w:p>
    <w:p w14:paraId="2CFE0873" w14:textId="77777777" w:rsidR="00670C88" w:rsidRDefault="00000000">
      <w:pPr>
        <w:spacing w:line="360" w:lineRule="auto"/>
        <w:ind w:firstLineChars="200" w:firstLine="480"/>
        <w:rPr>
          <w:rFonts w:ascii="宋体" w:hAnsi="宋体" w:hint="eastAsia"/>
          <w:sz w:val="24"/>
        </w:rPr>
      </w:pPr>
      <w:r>
        <w:rPr>
          <w:rFonts w:ascii="宋体" w:eastAsia="宋体" w:hAnsi="宋体" w:cs="宋体" w:hint="eastAsia"/>
          <w:sz w:val="24"/>
        </w:rPr>
        <w:t>鹏城实验室：</w:t>
      </w:r>
      <w:r>
        <w:rPr>
          <w:rFonts w:ascii="宋体" w:hAnsi="宋体" w:hint="eastAsia"/>
          <w:sz w:val="24"/>
        </w:rPr>
        <w:t>主要负责项目的组织与实施、标准的起草、标准的编写、意见的征集与修改、定稿、报批工作。</w:t>
      </w:r>
    </w:p>
    <w:p w14:paraId="3B4A9C18" w14:textId="77777777" w:rsidR="00670C88" w:rsidRDefault="00000000">
      <w:pPr>
        <w:spacing w:line="360" w:lineRule="auto"/>
        <w:ind w:firstLineChars="200" w:firstLine="480"/>
        <w:rPr>
          <w:rFonts w:ascii="宋体" w:hAnsi="宋体" w:hint="eastAsia"/>
          <w:sz w:val="24"/>
        </w:rPr>
      </w:pPr>
      <w:r>
        <w:rPr>
          <w:rFonts w:ascii="宋体" w:hAnsi="宋体" w:hint="eastAsia"/>
          <w:sz w:val="24"/>
        </w:rPr>
        <w:t>其他单位：标准技术内容的讨论、意见的征集与修改、标准的编写等。</w:t>
      </w:r>
    </w:p>
    <w:p w14:paraId="2CA11949" w14:textId="77777777" w:rsidR="00670C88" w:rsidRDefault="00000000">
      <w:pPr>
        <w:pStyle w:val="af0"/>
        <w:numPr>
          <w:ilvl w:val="0"/>
          <w:numId w:val="1"/>
        </w:numPr>
        <w:adjustRightInd w:val="0"/>
        <w:spacing w:line="360" w:lineRule="auto"/>
        <w:ind w:firstLineChars="0"/>
        <w:outlineLvl w:val="0"/>
        <w:rPr>
          <w:rFonts w:ascii="宋体" w:eastAsia="宋体" w:hAnsi="宋体" w:cs="Times New Roman" w:hint="eastAsia"/>
          <w:b/>
          <w:bCs/>
          <w:sz w:val="24"/>
          <w:szCs w:val="21"/>
        </w:rPr>
      </w:pPr>
      <w:bookmarkStart w:id="6" w:name="_Toc12241"/>
      <w:r>
        <w:rPr>
          <w:rFonts w:ascii="宋体" w:eastAsia="宋体" w:hAnsi="宋体" w:cs="Times New Roman" w:hint="eastAsia"/>
          <w:b/>
          <w:bCs/>
          <w:sz w:val="24"/>
          <w:szCs w:val="21"/>
        </w:rPr>
        <w:t>标准编制原则和确定主要内容的论据及解决的主要问题</w:t>
      </w:r>
      <w:bookmarkEnd w:id="6"/>
    </w:p>
    <w:p w14:paraId="360B3C72" w14:textId="77777777" w:rsidR="00670C88" w:rsidRDefault="00000000">
      <w:pPr>
        <w:spacing w:line="360" w:lineRule="auto"/>
        <w:ind w:firstLineChars="200" w:firstLine="482"/>
        <w:outlineLvl w:val="1"/>
        <w:rPr>
          <w:rFonts w:ascii="宋体" w:hAnsi="宋体" w:hint="eastAsia"/>
          <w:b/>
          <w:bCs/>
          <w:sz w:val="24"/>
        </w:rPr>
      </w:pPr>
      <w:bookmarkStart w:id="7" w:name="_Toc7013"/>
      <w:r>
        <w:rPr>
          <w:rFonts w:ascii="宋体" w:hAnsi="宋体" w:hint="eastAsia"/>
          <w:b/>
          <w:bCs/>
          <w:sz w:val="24"/>
        </w:rPr>
        <w:t>1.本标准的编制原则</w:t>
      </w:r>
      <w:bookmarkEnd w:id="7"/>
    </w:p>
    <w:p w14:paraId="34C371A8" w14:textId="77777777" w:rsidR="00670C88" w:rsidRDefault="00000000">
      <w:pPr>
        <w:pStyle w:val="af0"/>
        <w:spacing w:line="360" w:lineRule="auto"/>
        <w:ind w:firstLine="480"/>
        <w:rPr>
          <w:rFonts w:hAnsi="宋体" w:hint="eastAsia"/>
          <w:color w:val="000000"/>
          <w:sz w:val="24"/>
        </w:rPr>
      </w:pPr>
      <w:r>
        <w:rPr>
          <w:rFonts w:ascii="宋体" w:eastAsia="宋体" w:hAnsi="宋体" w:cs="宋体" w:hint="eastAsia"/>
          <w:sz w:val="24"/>
        </w:rPr>
        <w:t>《人工智能算力网络 第8部分：应用层接口》需适用于人工智能算力网络的应用层接口相关的设计和建设，</w:t>
      </w:r>
      <w:r>
        <w:rPr>
          <w:rFonts w:hAnsi="宋体" w:hint="eastAsia"/>
          <w:color w:val="000000"/>
          <w:sz w:val="24"/>
        </w:rPr>
        <w:t>符合各行业人工智能应用对算力高效互联互通的需求趋势，体现人工智能算力网络的发展水平和方向，规定的技术要求结合产</w:t>
      </w:r>
      <w:r>
        <w:rPr>
          <w:rFonts w:hAnsi="宋体" w:hint="eastAsia"/>
          <w:color w:val="000000"/>
          <w:sz w:val="24"/>
        </w:rPr>
        <w:lastRenderedPageBreak/>
        <w:t>学研众多单位的意见，技术要求清晰、易操作、可实现。</w:t>
      </w:r>
      <w:r>
        <w:rPr>
          <w:rFonts w:ascii="宋体" w:eastAsia="宋体" w:hAnsi="宋体" w:cs="宋体" w:hint="eastAsia"/>
          <w:sz w:val="24"/>
        </w:rPr>
        <w:t>本</w:t>
      </w:r>
      <w:r>
        <w:rPr>
          <w:rFonts w:hAnsi="宋体" w:hint="eastAsia"/>
          <w:color w:val="000000"/>
          <w:sz w:val="24"/>
        </w:rPr>
        <w:t>部分的内容遵循</w:t>
      </w:r>
      <w:r>
        <w:rPr>
          <w:rFonts w:hAnsi="宋体"/>
          <w:color w:val="000000"/>
          <w:sz w:val="24"/>
        </w:rPr>
        <w:t>T/AI 123.1</w:t>
      </w:r>
      <w:r>
        <w:rPr>
          <w:rFonts w:hAnsi="宋体"/>
          <w:color w:val="000000"/>
          <w:sz w:val="24"/>
        </w:rPr>
        <w:t>—</w:t>
      </w:r>
      <w:r>
        <w:rPr>
          <w:rFonts w:hAnsi="宋体"/>
          <w:color w:val="000000"/>
          <w:sz w:val="24"/>
        </w:rPr>
        <w:t>2023</w:t>
      </w:r>
      <w:r>
        <w:rPr>
          <w:rFonts w:hAnsi="宋体" w:hint="eastAsia"/>
          <w:color w:val="000000"/>
          <w:sz w:val="24"/>
        </w:rPr>
        <w:t>《人工智能算力网络</w:t>
      </w:r>
      <w:r>
        <w:rPr>
          <w:rFonts w:hAnsi="宋体"/>
          <w:color w:val="000000"/>
          <w:sz w:val="24"/>
        </w:rPr>
        <w:t xml:space="preserve"> </w:t>
      </w:r>
      <w:r>
        <w:rPr>
          <w:rFonts w:hAnsi="宋体" w:hint="eastAsia"/>
          <w:color w:val="000000"/>
          <w:sz w:val="24"/>
        </w:rPr>
        <w:t>第</w:t>
      </w:r>
      <w:r>
        <w:rPr>
          <w:rFonts w:hAnsi="宋体" w:hint="eastAsia"/>
          <w:color w:val="000000"/>
          <w:sz w:val="24"/>
        </w:rPr>
        <w:t>1</w:t>
      </w:r>
      <w:r>
        <w:rPr>
          <w:rFonts w:hAnsi="宋体" w:hint="eastAsia"/>
          <w:color w:val="000000"/>
          <w:sz w:val="24"/>
        </w:rPr>
        <w:t>部分：总体要求》中对</w:t>
      </w:r>
      <w:r>
        <w:rPr>
          <w:rFonts w:hAnsi="宋体"/>
          <w:color w:val="000000"/>
          <w:sz w:val="24"/>
        </w:rPr>
        <w:t>T/AI 123</w:t>
      </w:r>
      <w:r>
        <w:rPr>
          <w:rFonts w:hAnsi="宋体" w:hint="eastAsia"/>
          <w:color w:val="000000"/>
          <w:sz w:val="24"/>
        </w:rPr>
        <w:t>《人工智能算力网络》系列标准的规划。</w:t>
      </w:r>
    </w:p>
    <w:p w14:paraId="64F3FA5F" w14:textId="77777777" w:rsidR="00670C88" w:rsidRDefault="00000000">
      <w:pPr>
        <w:spacing w:line="360" w:lineRule="auto"/>
        <w:ind w:firstLineChars="200" w:firstLine="482"/>
        <w:outlineLvl w:val="1"/>
        <w:rPr>
          <w:rFonts w:ascii="宋体" w:hAnsi="宋体" w:hint="eastAsia"/>
          <w:b/>
          <w:bCs/>
          <w:sz w:val="24"/>
        </w:rPr>
      </w:pPr>
      <w:bookmarkStart w:id="8" w:name="_Toc7220"/>
      <w:r>
        <w:rPr>
          <w:rFonts w:ascii="宋体" w:hAnsi="宋体" w:hint="eastAsia"/>
          <w:b/>
          <w:bCs/>
          <w:sz w:val="24"/>
        </w:rPr>
        <w:t>2.确定主要内容的论据</w:t>
      </w:r>
      <w:bookmarkEnd w:id="8"/>
    </w:p>
    <w:p w14:paraId="05DFF693" w14:textId="2814C03D" w:rsidR="00ED1F13" w:rsidRDefault="00D30E52" w:rsidP="00D30E52">
      <w:pPr>
        <w:spacing w:line="360" w:lineRule="auto"/>
        <w:ind w:firstLineChars="202" w:firstLine="485"/>
        <w:rPr>
          <w:rFonts w:hAnsi="宋体" w:hint="eastAsia"/>
          <w:sz w:val="24"/>
        </w:rPr>
      </w:pPr>
      <w:r>
        <w:rPr>
          <w:rFonts w:hAnsi="宋体" w:hint="eastAsia"/>
          <w:sz w:val="24"/>
        </w:rPr>
        <w:t>本标准是经过多次内部研讨，</w:t>
      </w:r>
      <w:r w:rsidR="009C2F1E">
        <w:rPr>
          <w:rFonts w:hAnsi="宋体" w:hint="eastAsia"/>
          <w:sz w:val="24"/>
        </w:rPr>
        <w:t>基于当前业界发展现状和参编单位的实践经验</w:t>
      </w:r>
      <w:r>
        <w:rPr>
          <w:rFonts w:hAnsi="宋体" w:hint="eastAsia"/>
          <w:sz w:val="24"/>
        </w:rPr>
        <w:t>，对内容进行反复商议和修改，从而逐渐优化形成的。在</w:t>
      </w:r>
      <w:r w:rsidR="00031EBD">
        <w:rPr>
          <w:rFonts w:ascii="宋体" w:eastAsia="宋体" w:hAnsi="宋体" w:cs="宋体" w:hint="eastAsia"/>
          <w:sz w:val="24"/>
        </w:rPr>
        <w:t>2022年6月</w:t>
      </w:r>
      <w:r>
        <w:rPr>
          <w:rFonts w:hAnsi="宋体" w:hint="eastAsia"/>
          <w:sz w:val="24"/>
        </w:rPr>
        <w:t>召开的第一次研讨会上，</w:t>
      </w:r>
      <w:r w:rsidR="00C10CDF">
        <w:rPr>
          <w:rFonts w:hAnsi="宋体" w:hint="eastAsia"/>
          <w:sz w:val="24"/>
        </w:rPr>
        <w:t>确立</w:t>
      </w:r>
      <w:r>
        <w:rPr>
          <w:rFonts w:hAnsi="宋体" w:hint="eastAsia"/>
          <w:sz w:val="24"/>
        </w:rPr>
        <w:t>了标准的</w:t>
      </w:r>
      <w:r w:rsidR="00C10CDF">
        <w:rPr>
          <w:rFonts w:hAnsi="宋体" w:hint="eastAsia"/>
          <w:sz w:val="24"/>
        </w:rPr>
        <w:t>主要框架和主体内容</w:t>
      </w:r>
      <w:r>
        <w:rPr>
          <w:rFonts w:hAnsi="宋体" w:hint="eastAsia"/>
          <w:sz w:val="24"/>
        </w:rPr>
        <w:t>；</w:t>
      </w:r>
      <w:r w:rsidR="00ED1F13">
        <w:rPr>
          <w:rFonts w:ascii="宋体" w:eastAsia="宋体" w:hAnsi="宋体" w:cs="宋体" w:hint="eastAsia"/>
          <w:sz w:val="24"/>
        </w:rPr>
        <w:t>2022 年 12</w:t>
      </w:r>
      <w:r w:rsidR="00312BF5">
        <w:rPr>
          <w:rFonts w:ascii="宋体" w:eastAsia="宋体" w:hAnsi="宋体" w:cs="宋体" w:hint="eastAsia"/>
          <w:sz w:val="24"/>
        </w:rPr>
        <w:t>月的第二次研讨会上，</w:t>
      </w:r>
      <w:r w:rsidR="003E1AC0">
        <w:rPr>
          <w:rFonts w:ascii="宋体" w:eastAsia="宋体" w:hAnsi="宋体" w:cs="宋体" w:hint="eastAsia"/>
          <w:sz w:val="24"/>
        </w:rPr>
        <w:t>对</w:t>
      </w:r>
      <w:r w:rsidR="00312BF5">
        <w:rPr>
          <w:rFonts w:ascii="宋体" w:eastAsia="宋体" w:hAnsi="宋体" w:cs="宋体" w:hint="eastAsia"/>
          <w:sz w:val="24"/>
        </w:rPr>
        <w:t>草案内具体的内容进行了讨论</w:t>
      </w:r>
      <w:r w:rsidR="00AF5EB7">
        <w:rPr>
          <w:rFonts w:ascii="宋体" w:eastAsia="宋体" w:hAnsi="宋体" w:cs="宋体" w:hint="eastAsia"/>
          <w:sz w:val="24"/>
        </w:rPr>
        <w:t>，并确立了以接口能力要求为主，同时将具体的参考实现作为附录性资料提供参考；</w:t>
      </w:r>
      <w:r w:rsidR="00B64E26">
        <w:rPr>
          <w:rFonts w:ascii="宋体" w:eastAsia="宋体" w:hAnsi="宋体" w:cs="宋体" w:hint="eastAsia"/>
          <w:sz w:val="24"/>
        </w:rPr>
        <w:t>2023年12月，针对模型推理服务场景，新增了部分关于数据集和推理服务的相关能力要求，并细化了部分术语描述；后续的研讨会对</w:t>
      </w:r>
      <w:r w:rsidR="002439CF">
        <w:rPr>
          <w:rFonts w:ascii="宋体" w:eastAsia="宋体" w:hAnsi="宋体" w:cs="宋体" w:hint="eastAsia"/>
          <w:sz w:val="24"/>
        </w:rPr>
        <w:t>计量计费相关能力进行了深入讨论，确定了本标准内规范应提供该部分能力</w:t>
      </w:r>
      <w:r w:rsidR="009F5410">
        <w:rPr>
          <w:rFonts w:ascii="宋体" w:eastAsia="宋体" w:hAnsi="宋体" w:cs="宋体" w:hint="eastAsia"/>
          <w:sz w:val="24"/>
        </w:rPr>
        <w:t>，最终对本标准的内容和技术路线达成一致。</w:t>
      </w:r>
    </w:p>
    <w:p w14:paraId="2CAE70F4" w14:textId="77777777" w:rsidR="00670C88" w:rsidRPr="00D30E52" w:rsidRDefault="00670C88">
      <w:pPr>
        <w:pStyle w:val="af0"/>
        <w:spacing w:line="360" w:lineRule="auto"/>
        <w:ind w:firstLine="480"/>
        <w:rPr>
          <w:rFonts w:hAnsi="宋体" w:hint="eastAsia"/>
          <w:color w:val="000000"/>
          <w:sz w:val="24"/>
        </w:rPr>
      </w:pPr>
    </w:p>
    <w:p w14:paraId="648FBCC2" w14:textId="77777777" w:rsidR="00670C88" w:rsidRDefault="00000000">
      <w:pPr>
        <w:spacing w:line="360" w:lineRule="auto"/>
        <w:ind w:firstLineChars="200" w:firstLine="482"/>
        <w:outlineLvl w:val="1"/>
        <w:rPr>
          <w:rFonts w:ascii="宋体" w:hAnsi="宋体" w:hint="eastAsia"/>
          <w:b/>
          <w:bCs/>
          <w:sz w:val="24"/>
        </w:rPr>
      </w:pPr>
      <w:bookmarkStart w:id="9" w:name="_Toc31188"/>
      <w:r>
        <w:rPr>
          <w:rFonts w:ascii="宋体" w:hAnsi="宋体" w:hint="eastAsia"/>
          <w:b/>
          <w:bCs/>
          <w:sz w:val="24"/>
        </w:rPr>
        <w:t>3.解决的主要问题</w:t>
      </w:r>
      <w:bookmarkEnd w:id="9"/>
    </w:p>
    <w:p w14:paraId="7AF4AE32"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本标准拟解决以下问题：</w:t>
      </w:r>
    </w:p>
    <w:p w14:paraId="36211515"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计算中心逐步形成相互联接的人工智能算力网络，为大模型通过网络部署并结合不同区域产业优势应用落地提供支撑，如何通过建立智算网络应用层接口规范，以便于第三方应用接入智算网络，满足各类应用使用智算网络的需求，促进智算网络的应用生态发展成为亟待解决的产业问题。</w:t>
      </w:r>
    </w:p>
    <w:p w14:paraId="28BF3B7E"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2）各智算中心资源规格、调度系统、软件栈不互通，形成资源孤岛，整体利用率低，如何通过接口将异构算力抽象为标准化算力单元，在资源侧打破算力孤岛，实现资源池化，尚缺乏规范化指引和依据。</w:t>
      </w:r>
    </w:p>
    <w:p w14:paraId="252733C4"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3）用户在使用各智算中心资源过程中，需自行研究不同智算中心的硬件差异、环境配置、任务提交方式，学习成本高，如何通过封装智算网络调度层和运营层对外开放的功能，并以特定的方式提供给用户使用，在用户侧降低使用门槛是亟待解决的问题。</w:t>
      </w:r>
    </w:p>
    <w:p w14:paraId="0D241D82" w14:textId="77777777" w:rsidR="00670C88" w:rsidRDefault="00000000">
      <w:pPr>
        <w:spacing w:line="360" w:lineRule="auto"/>
        <w:ind w:firstLineChars="200" w:firstLine="482"/>
        <w:outlineLvl w:val="1"/>
        <w:rPr>
          <w:rFonts w:ascii="宋体" w:hAnsi="宋体" w:hint="eastAsia"/>
          <w:b/>
          <w:bCs/>
          <w:sz w:val="24"/>
        </w:rPr>
      </w:pPr>
      <w:bookmarkStart w:id="10" w:name="_Toc184"/>
      <w:r>
        <w:rPr>
          <w:rFonts w:ascii="宋体" w:hAnsi="宋体" w:hint="eastAsia"/>
          <w:b/>
          <w:bCs/>
          <w:sz w:val="24"/>
        </w:rPr>
        <w:t>4.有关技术问题说明</w:t>
      </w:r>
      <w:bookmarkEnd w:id="10"/>
    </w:p>
    <w:p w14:paraId="336D88BD" w14:textId="1B74E6B8" w:rsidR="00670C88" w:rsidRDefault="007D036F">
      <w:pPr>
        <w:spacing w:line="360" w:lineRule="auto"/>
        <w:ind w:firstLineChars="200" w:firstLine="480"/>
        <w:outlineLvl w:val="0"/>
        <w:rPr>
          <w:rFonts w:ascii="宋体" w:eastAsia="宋体" w:hAnsi="宋体" w:cs="宋体" w:hint="eastAsia"/>
          <w:sz w:val="24"/>
        </w:rPr>
      </w:pPr>
      <w:r>
        <w:rPr>
          <w:rFonts w:ascii="宋体" w:eastAsia="宋体" w:hAnsi="宋体" w:cs="宋体" w:hint="eastAsia"/>
          <w:sz w:val="24"/>
        </w:rPr>
        <w:t>无</w:t>
      </w:r>
    </w:p>
    <w:p w14:paraId="59F2207F" w14:textId="77777777" w:rsidR="00670C88" w:rsidRDefault="00000000">
      <w:pPr>
        <w:pStyle w:val="af0"/>
        <w:numPr>
          <w:ilvl w:val="0"/>
          <w:numId w:val="1"/>
        </w:numPr>
        <w:adjustRightInd w:val="0"/>
        <w:spacing w:line="360" w:lineRule="auto"/>
        <w:ind w:firstLineChars="0"/>
        <w:outlineLvl w:val="0"/>
        <w:rPr>
          <w:rFonts w:ascii="宋体" w:eastAsia="宋体" w:hAnsi="宋体" w:cs="Times New Roman" w:hint="eastAsia"/>
          <w:b/>
          <w:bCs/>
          <w:sz w:val="24"/>
          <w:szCs w:val="21"/>
        </w:rPr>
      </w:pPr>
      <w:bookmarkStart w:id="11" w:name="_Toc3318"/>
      <w:r>
        <w:rPr>
          <w:rFonts w:ascii="宋体" w:eastAsia="宋体" w:hAnsi="宋体" w:cs="Times New Roman" w:hint="eastAsia"/>
          <w:b/>
          <w:bCs/>
          <w:sz w:val="24"/>
          <w:szCs w:val="21"/>
        </w:rPr>
        <w:t>主要试验或验证情况分析</w:t>
      </w:r>
      <w:bookmarkEnd w:id="11"/>
    </w:p>
    <w:p w14:paraId="2831A557" w14:textId="77777777" w:rsidR="00670C88" w:rsidRDefault="00000000">
      <w:pPr>
        <w:spacing w:line="360" w:lineRule="auto"/>
        <w:ind w:firstLineChars="200" w:firstLine="482"/>
        <w:outlineLvl w:val="1"/>
        <w:rPr>
          <w:rFonts w:ascii="宋体" w:hAnsi="宋体" w:hint="eastAsia"/>
          <w:b/>
          <w:bCs/>
          <w:sz w:val="24"/>
        </w:rPr>
      </w:pPr>
      <w:r>
        <w:rPr>
          <w:rFonts w:ascii="宋体" w:hAnsi="宋体" w:hint="eastAsia"/>
          <w:b/>
          <w:bCs/>
          <w:sz w:val="24"/>
        </w:rPr>
        <w:lastRenderedPageBreak/>
        <w:t>1.实验验证</w:t>
      </w:r>
    </w:p>
    <w:p w14:paraId="42432406" w14:textId="3F69DD11" w:rsidR="00670C88" w:rsidRDefault="008B0825">
      <w:pPr>
        <w:snapToGrid w:val="0"/>
        <w:spacing w:line="360" w:lineRule="auto"/>
        <w:ind w:firstLineChars="200" w:firstLine="480"/>
        <w:rPr>
          <w:rFonts w:ascii="宋体" w:eastAsia="宋体" w:hAnsi="宋体" w:cs="宋体" w:hint="eastAsia"/>
          <w:sz w:val="24"/>
        </w:rPr>
      </w:pPr>
      <w:r w:rsidRPr="008B0825">
        <w:rPr>
          <w:rFonts w:ascii="宋体" w:eastAsia="宋体" w:hAnsi="宋体" w:cs="宋体"/>
          <w:sz w:val="24"/>
        </w:rPr>
        <w:t>本标准所规定的内容经过国内各大设备厂商及行业内实际研发过程中的试验和测试，已被证明确实可行。</w:t>
      </w:r>
    </w:p>
    <w:p w14:paraId="76B88318" w14:textId="77777777" w:rsidR="00190994" w:rsidRDefault="00190994">
      <w:pPr>
        <w:snapToGrid w:val="0"/>
        <w:spacing w:line="360" w:lineRule="auto"/>
        <w:ind w:firstLineChars="200" w:firstLine="480"/>
        <w:rPr>
          <w:rFonts w:hAnsi="宋体" w:hint="eastAsia"/>
          <w:sz w:val="24"/>
        </w:rPr>
      </w:pPr>
    </w:p>
    <w:p w14:paraId="105A954C" w14:textId="77777777" w:rsidR="00670C88" w:rsidRDefault="00000000">
      <w:pPr>
        <w:spacing w:line="360" w:lineRule="auto"/>
        <w:ind w:firstLineChars="200" w:firstLine="482"/>
        <w:outlineLvl w:val="1"/>
        <w:rPr>
          <w:rFonts w:ascii="宋体" w:hAnsi="宋体" w:hint="eastAsia"/>
          <w:b/>
          <w:bCs/>
          <w:sz w:val="24"/>
        </w:rPr>
      </w:pPr>
      <w:r>
        <w:rPr>
          <w:rFonts w:ascii="宋体" w:hAnsi="宋体" w:hint="eastAsia"/>
          <w:b/>
          <w:bCs/>
          <w:sz w:val="24"/>
        </w:rPr>
        <w:t>2.产业化情况、推广应用论证和预期达到的经济效果</w:t>
      </w:r>
    </w:p>
    <w:p w14:paraId="66601D8D" w14:textId="15DD868B" w:rsidR="00670C88" w:rsidRDefault="009337DC">
      <w:pPr>
        <w:pStyle w:val="af"/>
        <w:spacing w:line="360" w:lineRule="auto"/>
        <w:ind w:firstLine="480"/>
        <w:rPr>
          <w:rFonts w:hAnsi="宋体" w:hint="eastAsia"/>
          <w:sz w:val="24"/>
          <w:szCs w:val="22"/>
        </w:rPr>
      </w:pPr>
      <w:r w:rsidRPr="006A4675">
        <w:rPr>
          <w:rFonts w:ascii="宋体" w:hAnsi="宋体" w:cs="宋体"/>
          <w:sz w:val="24"/>
        </w:rPr>
        <w:t>标准适用于人工智能算力网络服务平台接口的规划设计、开发研发、落地应用及运维管理，可为各类智算网络平台建设、第三方应用接入、行业个性化服务开发提供统一、合规的技术遵循。</w:t>
      </w:r>
    </w:p>
    <w:p w14:paraId="4004920A" w14:textId="77777777" w:rsidR="00670C88" w:rsidRDefault="00000000">
      <w:pPr>
        <w:pStyle w:val="af0"/>
        <w:numPr>
          <w:ilvl w:val="0"/>
          <w:numId w:val="1"/>
        </w:numPr>
        <w:adjustRightInd w:val="0"/>
        <w:spacing w:line="360" w:lineRule="auto"/>
        <w:ind w:firstLineChars="0"/>
        <w:outlineLvl w:val="0"/>
        <w:rPr>
          <w:rFonts w:ascii="宋体" w:eastAsia="宋体" w:hAnsi="宋体" w:cs="Times New Roman" w:hint="eastAsia"/>
          <w:b/>
          <w:bCs/>
          <w:sz w:val="24"/>
          <w:szCs w:val="21"/>
        </w:rPr>
      </w:pPr>
      <w:r>
        <w:rPr>
          <w:rFonts w:ascii="宋体" w:eastAsia="宋体" w:hAnsi="宋体" w:cs="Times New Roman" w:hint="eastAsia"/>
          <w:b/>
          <w:bCs/>
          <w:sz w:val="24"/>
          <w:szCs w:val="21"/>
        </w:rPr>
        <w:t>国际、国外同类标准技术内容对比情况</w:t>
      </w:r>
    </w:p>
    <w:p w14:paraId="2F09A292" w14:textId="7608A259" w:rsidR="00670C88" w:rsidRPr="004D1BD8" w:rsidRDefault="004D1BD8">
      <w:pPr>
        <w:pStyle w:val="af"/>
        <w:spacing w:line="360" w:lineRule="auto"/>
        <w:ind w:firstLine="480"/>
        <w:rPr>
          <w:rFonts w:hAnsi="宋体" w:hint="eastAsia"/>
          <w:sz w:val="24"/>
          <w:szCs w:val="22"/>
        </w:rPr>
      </w:pPr>
      <w:r w:rsidRPr="004D1BD8">
        <w:rPr>
          <w:rFonts w:hAnsi="宋体"/>
          <w:sz w:val="24"/>
          <w:szCs w:val="22"/>
        </w:rPr>
        <w:t>本部分未采用国际标准。</w:t>
      </w:r>
    </w:p>
    <w:p w14:paraId="753140F0" w14:textId="77777777" w:rsidR="00670C88" w:rsidRDefault="00000000">
      <w:pPr>
        <w:pStyle w:val="af0"/>
        <w:numPr>
          <w:ilvl w:val="0"/>
          <w:numId w:val="1"/>
        </w:numPr>
        <w:adjustRightInd w:val="0"/>
        <w:spacing w:line="360" w:lineRule="auto"/>
        <w:ind w:firstLineChars="0"/>
        <w:outlineLvl w:val="0"/>
        <w:rPr>
          <w:rFonts w:ascii="宋体" w:eastAsia="宋体" w:hAnsi="宋体" w:cs="Times New Roman" w:hint="eastAsia"/>
          <w:b/>
          <w:bCs/>
          <w:sz w:val="24"/>
          <w:szCs w:val="21"/>
        </w:rPr>
      </w:pPr>
      <w:r>
        <w:rPr>
          <w:rFonts w:ascii="宋体" w:eastAsia="宋体" w:hAnsi="宋体" w:cs="Times New Roman" w:hint="eastAsia"/>
          <w:b/>
          <w:bCs/>
          <w:sz w:val="24"/>
          <w:szCs w:val="21"/>
        </w:rPr>
        <w:t>采用国际标准和国外先进标准情况</w:t>
      </w:r>
    </w:p>
    <w:p w14:paraId="370E0E64"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本部分未采用国际标准。</w:t>
      </w:r>
    </w:p>
    <w:p w14:paraId="7E2EA758" w14:textId="77777777" w:rsidR="00670C88" w:rsidRDefault="00000000">
      <w:pPr>
        <w:pStyle w:val="af0"/>
        <w:numPr>
          <w:ilvl w:val="0"/>
          <w:numId w:val="1"/>
        </w:numPr>
        <w:adjustRightInd w:val="0"/>
        <w:spacing w:line="360" w:lineRule="auto"/>
        <w:ind w:firstLineChars="0"/>
        <w:outlineLvl w:val="0"/>
        <w:rPr>
          <w:rFonts w:ascii="宋体" w:eastAsia="宋体" w:hAnsi="宋体" w:cs="Times New Roman" w:hint="eastAsia"/>
          <w:b/>
          <w:bCs/>
          <w:sz w:val="24"/>
          <w:szCs w:val="21"/>
        </w:rPr>
      </w:pPr>
      <w:r>
        <w:rPr>
          <w:rFonts w:ascii="宋体" w:eastAsia="宋体" w:hAnsi="宋体" w:cs="Times New Roman" w:hint="eastAsia"/>
          <w:b/>
          <w:bCs/>
          <w:sz w:val="24"/>
          <w:szCs w:val="21"/>
        </w:rPr>
        <w:t>与现行相关法律、法规、规章及相关标准的协调性</w:t>
      </w:r>
    </w:p>
    <w:p w14:paraId="3EE3E14E" w14:textId="77777777" w:rsidR="00670C88" w:rsidRDefault="00000000">
      <w:pPr>
        <w:spacing w:line="360" w:lineRule="auto"/>
        <w:ind w:left="482"/>
        <w:rPr>
          <w:rFonts w:ascii="宋体"/>
          <w:b/>
          <w:kern w:val="0"/>
          <w:sz w:val="24"/>
        </w:rPr>
      </w:pPr>
      <w:r>
        <w:rPr>
          <w:rFonts w:hAnsi="宋体" w:hint="eastAsia"/>
          <w:color w:val="000000"/>
          <w:sz w:val="24"/>
        </w:rPr>
        <w:t>本标准与现行相关法律、法规、规章及相关标准协调一致。</w:t>
      </w:r>
    </w:p>
    <w:p w14:paraId="2E76A0C0" w14:textId="77777777" w:rsidR="00670C88" w:rsidRDefault="00000000">
      <w:pPr>
        <w:pStyle w:val="af0"/>
        <w:numPr>
          <w:ilvl w:val="0"/>
          <w:numId w:val="1"/>
        </w:numPr>
        <w:adjustRightInd w:val="0"/>
        <w:spacing w:line="360" w:lineRule="auto"/>
        <w:ind w:firstLineChars="0"/>
        <w:outlineLvl w:val="0"/>
        <w:rPr>
          <w:rFonts w:ascii="宋体" w:eastAsia="宋体" w:hAnsi="宋体" w:cs="Times New Roman" w:hint="eastAsia"/>
          <w:b/>
          <w:bCs/>
          <w:sz w:val="24"/>
          <w:szCs w:val="21"/>
        </w:rPr>
      </w:pPr>
      <w:r>
        <w:rPr>
          <w:rFonts w:ascii="宋体" w:eastAsia="宋体" w:hAnsi="宋体" w:cs="Times New Roman" w:hint="eastAsia"/>
          <w:b/>
          <w:bCs/>
          <w:sz w:val="24"/>
          <w:szCs w:val="21"/>
        </w:rPr>
        <w:t>重大分歧意见的处理经过和依据</w:t>
      </w:r>
    </w:p>
    <w:p w14:paraId="37EC3F88"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无。</w:t>
      </w:r>
    </w:p>
    <w:p w14:paraId="0F9EC7DD" w14:textId="77777777" w:rsidR="00670C88" w:rsidRDefault="00000000">
      <w:pPr>
        <w:pStyle w:val="af0"/>
        <w:numPr>
          <w:ilvl w:val="0"/>
          <w:numId w:val="1"/>
        </w:numPr>
        <w:adjustRightInd w:val="0"/>
        <w:spacing w:line="360" w:lineRule="auto"/>
        <w:ind w:firstLineChars="0"/>
        <w:outlineLvl w:val="0"/>
        <w:rPr>
          <w:rFonts w:ascii="宋体" w:eastAsia="宋体" w:hAnsi="宋体" w:cs="Times New Roman" w:hint="eastAsia"/>
          <w:b/>
          <w:bCs/>
          <w:sz w:val="24"/>
          <w:szCs w:val="21"/>
        </w:rPr>
      </w:pPr>
      <w:bookmarkStart w:id="12" w:name="_Toc17647"/>
      <w:r>
        <w:rPr>
          <w:rFonts w:ascii="宋体" w:eastAsia="宋体" w:hAnsi="宋体" w:cs="Times New Roman" w:hint="eastAsia"/>
          <w:b/>
          <w:bCs/>
          <w:sz w:val="24"/>
          <w:szCs w:val="21"/>
        </w:rPr>
        <w:t>知识产权情况说明</w:t>
      </w:r>
      <w:bookmarkEnd w:id="12"/>
    </w:p>
    <w:p w14:paraId="65259831" w14:textId="77777777" w:rsidR="00670C88" w:rsidRDefault="00000000">
      <w:pPr>
        <w:spacing w:line="360" w:lineRule="auto"/>
        <w:ind w:firstLineChars="200" w:firstLine="480"/>
        <w:rPr>
          <w:rFonts w:ascii="宋体" w:eastAsia="宋体" w:hAnsi="宋体" w:cs="宋体" w:hint="eastAsia"/>
          <w:sz w:val="24"/>
        </w:rPr>
      </w:pPr>
      <w:r>
        <w:rPr>
          <w:rFonts w:eastAsia="宋体" w:hAnsi="Times New Roman" w:cs="Times New Roman" w:hint="eastAsia"/>
          <w:sz w:val="24"/>
        </w:rPr>
        <w:t>本标准不涉及任何专利及知识产权。</w:t>
      </w:r>
    </w:p>
    <w:p w14:paraId="7B718D4A" w14:textId="77777777" w:rsidR="00670C88" w:rsidRDefault="00000000">
      <w:pPr>
        <w:pStyle w:val="af0"/>
        <w:numPr>
          <w:ilvl w:val="0"/>
          <w:numId w:val="1"/>
        </w:numPr>
        <w:adjustRightInd w:val="0"/>
        <w:spacing w:line="360" w:lineRule="auto"/>
        <w:ind w:firstLineChars="0"/>
        <w:outlineLvl w:val="0"/>
        <w:rPr>
          <w:rFonts w:ascii="宋体" w:eastAsia="宋体" w:hAnsi="宋体" w:cs="Times New Roman" w:hint="eastAsia"/>
          <w:b/>
          <w:bCs/>
          <w:sz w:val="24"/>
          <w:szCs w:val="21"/>
        </w:rPr>
      </w:pPr>
      <w:bookmarkStart w:id="13" w:name="_Toc31378"/>
      <w:r>
        <w:rPr>
          <w:rFonts w:ascii="宋体" w:eastAsia="宋体" w:hAnsi="宋体" w:cs="Times New Roman" w:hint="eastAsia"/>
          <w:b/>
          <w:bCs/>
          <w:sz w:val="24"/>
          <w:szCs w:val="21"/>
        </w:rPr>
        <w:t>贯彻标准的要求和措施建议</w:t>
      </w:r>
      <w:bookmarkEnd w:id="13"/>
    </w:p>
    <w:p w14:paraId="5E97269C"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本部分宜与</w:t>
      </w:r>
      <w:r>
        <w:rPr>
          <w:rFonts w:ascii="宋体" w:eastAsia="宋体" w:hAnsi="宋体" w:cs="宋体"/>
          <w:sz w:val="24"/>
        </w:rPr>
        <w:t>T/AI 123</w:t>
      </w:r>
      <w:r>
        <w:rPr>
          <w:rFonts w:ascii="宋体" w:eastAsia="宋体" w:hAnsi="宋体" w:cs="宋体" w:hint="eastAsia"/>
          <w:sz w:val="24"/>
        </w:rPr>
        <w:t>《人工智能算力网络》系列标准搭配使用。</w:t>
      </w:r>
    </w:p>
    <w:p w14:paraId="744EAF80" w14:textId="77777777" w:rsidR="00670C88" w:rsidRDefault="00000000">
      <w:pPr>
        <w:pStyle w:val="af0"/>
        <w:numPr>
          <w:ilvl w:val="0"/>
          <w:numId w:val="1"/>
        </w:numPr>
        <w:adjustRightInd w:val="0"/>
        <w:spacing w:line="360" w:lineRule="auto"/>
        <w:ind w:firstLineChars="0"/>
        <w:outlineLvl w:val="0"/>
        <w:rPr>
          <w:rFonts w:ascii="宋体" w:eastAsia="宋体" w:hAnsi="宋体" w:cs="Times New Roman" w:hint="eastAsia"/>
          <w:b/>
          <w:bCs/>
          <w:sz w:val="24"/>
          <w:szCs w:val="21"/>
        </w:rPr>
      </w:pPr>
      <w:bookmarkStart w:id="14" w:name="_Toc28869"/>
      <w:r>
        <w:rPr>
          <w:rFonts w:ascii="宋体" w:eastAsia="宋体" w:hAnsi="宋体" w:cs="Times New Roman" w:hint="eastAsia"/>
          <w:b/>
          <w:bCs/>
          <w:sz w:val="24"/>
          <w:szCs w:val="21"/>
        </w:rPr>
        <w:t>其它应予说明的事项</w:t>
      </w:r>
      <w:bookmarkEnd w:id="14"/>
    </w:p>
    <w:p w14:paraId="19F97D46" w14:textId="77777777" w:rsidR="00670C8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无。</w:t>
      </w:r>
    </w:p>
    <w:p w14:paraId="4B5E13AA" w14:textId="77777777" w:rsidR="00670C88" w:rsidRDefault="00670C88">
      <w:pPr>
        <w:spacing w:line="360" w:lineRule="auto"/>
        <w:jc w:val="right"/>
        <w:rPr>
          <w:rFonts w:ascii="宋体" w:eastAsia="宋体" w:hAnsi="宋体" w:cs="宋体" w:hint="eastAsia"/>
          <w:sz w:val="24"/>
        </w:rPr>
      </w:pPr>
    </w:p>
    <w:p w14:paraId="64A6687F" w14:textId="77777777" w:rsidR="00670C88" w:rsidRDefault="00670C88">
      <w:pPr>
        <w:spacing w:line="360" w:lineRule="auto"/>
        <w:jc w:val="right"/>
        <w:rPr>
          <w:rFonts w:ascii="宋体" w:eastAsia="宋体" w:hAnsi="宋体" w:cs="宋体" w:hint="eastAsia"/>
          <w:sz w:val="24"/>
        </w:rPr>
      </w:pPr>
    </w:p>
    <w:p w14:paraId="403BF275" w14:textId="77777777" w:rsidR="00670C88" w:rsidRDefault="00000000">
      <w:pPr>
        <w:spacing w:line="360" w:lineRule="auto"/>
        <w:jc w:val="right"/>
        <w:rPr>
          <w:rFonts w:ascii="宋体" w:eastAsia="宋体" w:hAnsi="宋体" w:cs="宋体" w:hint="eastAsia"/>
          <w:sz w:val="24"/>
        </w:rPr>
      </w:pPr>
      <w:r>
        <w:rPr>
          <w:rFonts w:ascii="宋体" w:eastAsia="宋体" w:hAnsi="宋体" w:cs="宋体" w:hint="eastAsia"/>
          <w:sz w:val="24"/>
        </w:rPr>
        <w:t>团体标准《人工智能算力网络 第8部分：应用层接口》编制工作组</w:t>
      </w:r>
    </w:p>
    <w:p w14:paraId="1865A119" w14:textId="77777777" w:rsidR="00670C88" w:rsidRDefault="00000000">
      <w:pPr>
        <w:spacing w:line="360" w:lineRule="auto"/>
        <w:jc w:val="right"/>
        <w:rPr>
          <w:rFonts w:ascii="宋体" w:eastAsia="宋体" w:hAnsi="宋体" w:cs="宋体" w:hint="eastAsia"/>
          <w:sz w:val="24"/>
        </w:rPr>
      </w:pPr>
      <w:r>
        <w:rPr>
          <w:rFonts w:ascii="宋体" w:eastAsia="宋体" w:hAnsi="宋体" w:cs="宋体" w:hint="eastAsia"/>
          <w:sz w:val="24"/>
        </w:rPr>
        <w:t>2026-05</w:t>
      </w:r>
    </w:p>
    <w:sectPr w:rsidR="00670C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D3DF3"/>
    <w:multiLevelType w:val="multilevel"/>
    <w:tmpl w:val="75FD3DF3"/>
    <w:lvl w:ilvl="0">
      <w:start w:val="1"/>
      <w:numFmt w:val="japaneseCounting"/>
      <w:lvlText w:val="%1、"/>
      <w:lvlJc w:val="left"/>
      <w:pPr>
        <w:ind w:left="1192" w:hanging="720"/>
      </w:pPr>
      <w:rPr>
        <w:rFonts w:hint="default"/>
      </w:rPr>
    </w:lvl>
    <w:lvl w:ilvl="1">
      <w:start w:val="1"/>
      <w:numFmt w:val="lowerLetter"/>
      <w:lvlText w:val="%2)"/>
      <w:lvlJc w:val="left"/>
      <w:pPr>
        <w:ind w:left="1352" w:hanging="440"/>
      </w:pPr>
    </w:lvl>
    <w:lvl w:ilvl="2">
      <w:start w:val="1"/>
      <w:numFmt w:val="lowerRoman"/>
      <w:lvlText w:val="%3."/>
      <w:lvlJc w:val="right"/>
      <w:pPr>
        <w:ind w:left="1792" w:hanging="440"/>
      </w:pPr>
    </w:lvl>
    <w:lvl w:ilvl="3">
      <w:start w:val="1"/>
      <w:numFmt w:val="decimal"/>
      <w:lvlText w:val="%4."/>
      <w:lvlJc w:val="left"/>
      <w:pPr>
        <w:ind w:left="2232" w:hanging="440"/>
      </w:pPr>
    </w:lvl>
    <w:lvl w:ilvl="4">
      <w:start w:val="1"/>
      <w:numFmt w:val="lowerLetter"/>
      <w:lvlText w:val="%5)"/>
      <w:lvlJc w:val="left"/>
      <w:pPr>
        <w:ind w:left="2672" w:hanging="440"/>
      </w:pPr>
    </w:lvl>
    <w:lvl w:ilvl="5">
      <w:start w:val="1"/>
      <w:numFmt w:val="lowerRoman"/>
      <w:lvlText w:val="%6."/>
      <w:lvlJc w:val="right"/>
      <w:pPr>
        <w:ind w:left="3112" w:hanging="440"/>
      </w:pPr>
    </w:lvl>
    <w:lvl w:ilvl="6">
      <w:start w:val="1"/>
      <w:numFmt w:val="decimal"/>
      <w:lvlText w:val="%7."/>
      <w:lvlJc w:val="left"/>
      <w:pPr>
        <w:ind w:left="3552" w:hanging="440"/>
      </w:pPr>
    </w:lvl>
    <w:lvl w:ilvl="7">
      <w:start w:val="1"/>
      <w:numFmt w:val="lowerLetter"/>
      <w:lvlText w:val="%8)"/>
      <w:lvlJc w:val="left"/>
      <w:pPr>
        <w:ind w:left="3992" w:hanging="440"/>
      </w:pPr>
    </w:lvl>
    <w:lvl w:ilvl="8">
      <w:start w:val="1"/>
      <w:numFmt w:val="lowerRoman"/>
      <w:lvlText w:val="%9."/>
      <w:lvlJc w:val="right"/>
      <w:pPr>
        <w:ind w:left="4432" w:hanging="440"/>
      </w:pPr>
    </w:lvl>
  </w:abstractNum>
  <w:num w:numId="1" w16cid:durableId="178993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zNjBkOTgyNWQ1YTMxYzM3MzMwNWFiODNmOWIzYWMifQ=="/>
  </w:docVars>
  <w:rsids>
    <w:rsidRoot w:val="002F0609"/>
    <w:rsid w:val="000101F1"/>
    <w:rsid w:val="00031EBD"/>
    <w:rsid w:val="000363FA"/>
    <w:rsid w:val="0003686E"/>
    <w:rsid w:val="00047DEB"/>
    <w:rsid w:val="0006357F"/>
    <w:rsid w:val="00070251"/>
    <w:rsid w:val="00080E4E"/>
    <w:rsid w:val="0009052C"/>
    <w:rsid w:val="00093359"/>
    <w:rsid w:val="000A4DC1"/>
    <w:rsid w:val="000B1BB0"/>
    <w:rsid w:val="000C6F33"/>
    <w:rsid w:val="000C7237"/>
    <w:rsid w:val="000E0683"/>
    <w:rsid w:val="000E2675"/>
    <w:rsid w:val="000E3A39"/>
    <w:rsid w:val="000E601C"/>
    <w:rsid w:val="00107BF0"/>
    <w:rsid w:val="00114606"/>
    <w:rsid w:val="00140233"/>
    <w:rsid w:val="001439A1"/>
    <w:rsid w:val="00157C38"/>
    <w:rsid w:val="00182B00"/>
    <w:rsid w:val="00190994"/>
    <w:rsid w:val="001A10B3"/>
    <w:rsid w:val="001A189C"/>
    <w:rsid w:val="001B5FCB"/>
    <w:rsid w:val="001B6F9D"/>
    <w:rsid w:val="001B70BB"/>
    <w:rsid w:val="001C3D9B"/>
    <w:rsid w:val="001C7029"/>
    <w:rsid w:val="001D0C8D"/>
    <w:rsid w:val="001D212C"/>
    <w:rsid w:val="0021693A"/>
    <w:rsid w:val="002400B6"/>
    <w:rsid w:val="002425DC"/>
    <w:rsid w:val="002439CF"/>
    <w:rsid w:val="0025282E"/>
    <w:rsid w:val="00263AF7"/>
    <w:rsid w:val="002664C4"/>
    <w:rsid w:val="002956A2"/>
    <w:rsid w:val="00297884"/>
    <w:rsid w:val="002B600A"/>
    <w:rsid w:val="002F0609"/>
    <w:rsid w:val="002F4E49"/>
    <w:rsid w:val="00312BF5"/>
    <w:rsid w:val="003142C6"/>
    <w:rsid w:val="00325158"/>
    <w:rsid w:val="0032641B"/>
    <w:rsid w:val="00337D09"/>
    <w:rsid w:val="00347D40"/>
    <w:rsid w:val="00376F4D"/>
    <w:rsid w:val="003A1420"/>
    <w:rsid w:val="003C61FB"/>
    <w:rsid w:val="003E159D"/>
    <w:rsid w:val="003E1AC0"/>
    <w:rsid w:val="003E783B"/>
    <w:rsid w:val="004007F0"/>
    <w:rsid w:val="00400885"/>
    <w:rsid w:val="004170B5"/>
    <w:rsid w:val="00433DF6"/>
    <w:rsid w:val="00446451"/>
    <w:rsid w:val="00470E2B"/>
    <w:rsid w:val="004B3A8B"/>
    <w:rsid w:val="004B72B4"/>
    <w:rsid w:val="004B7EA3"/>
    <w:rsid w:val="004D1BD8"/>
    <w:rsid w:val="004D1CCA"/>
    <w:rsid w:val="00502030"/>
    <w:rsid w:val="0052784F"/>
    <w:rsid w:val="00534FB7"/>
    <w:rsid w:val="00535DFC"/>
    <w:rsid w:val="00542E8B"/>
    <w:rsid w:val="0054590C"/>
    <w:rsid w:val="00554B2E"/>
    <w:rsid w:val="00561485"/>
    <w:rsid w:val="005928A3"/>
    <w:rsid w:val="0059486D"/>
    <w:rsid w:val="005A4864"/>
    <w:rsid w:val="005E6C8C"/>
    <w:rsid w:val="005E7775"/>
    <w:rsid w:val="0062169F"/>
    <w:rsid w:val="00622301"/>
    <w:rsid w:val="00664823"/>
    <w:rsid w:val="00670C88"/>
    <w:rsid w:val="006A4675"/>
    <w:rsid w:val="006B492A"/>
    <w:rsid w:val="006D23AC"/>
    <w:rsid w:val="006D3F15"/>
    <w:rsid w:val="00715753"/>
    <w:rsid w:val="00727C92"/>
    <w:rsid w:val="00737641"/>
    <w:rsid w:val="0074052A"/>
    <w:rsid w:val="00747A6C"/>
    <w:rsid w:val="00756F5C"/>
    <w:rsid w:val="00787527"/>
    <w:rsid w:val="00790471"/>
    <w:rsid w:val="00797C3B"/>
    <w:rsid w:val="007A49E3"/>
    <w:rsid w:val="007A56BD"/>
    <w:rsid w:val="007A6DFB"/>
    <w:rsid w:val="007B5D45"/>
    <w:rsid w:val="007C07DC"/>
    <w:rsid w:val="007D036F"/>
    <w:rsid w:val="00803D62"/>
    <w:rsid w:val="00807279"/>
    <w:rsid w:val="00807A1E"/>
    <w:rsid w:val="008241FB"/>
    <w:rsid w:val="00842051"/>
    <w:rsid w:val="00844F32"/>
    <w:rsid w:val="008721DB"/>
    <w:rsid w:val="00890F6A"/>
    <w:rsid w:val="0089430B"/>
    <w:rsid w:val="008A6F23"/>
    <w:rsid w:val="008B0825"/>
    <w:rsid w:val="008B1DA4"/>
    <w:rsid w:val="008E1A48"/>
    <w:rsid w:val="008E36F2"/>
    <w:rsid w:val="008F2343"/>
    <w:rsid w:val="009234BC"/>
    <w:rsid w:val="009260BA"/>
    <w:rsid w:val="00926EC9"/>
    <w:rsid w:val="009337DC"/>
    <w:rsid w:val="00934E17"/>
    <w:rsid w:val="00975D84"/>
    <w:rsid w:val="009820E0"/>
    <w:rsid w:val="00982F88"/>
    <w:rsid w:val="009943B3"/>
    <w:rsid w:val="009A2758"/>
    <w:rsid w:val="009A4AB9"/>
    <w:rsid w:val="009C2B2D"/>
    <w:rsid w:val="009C2F1E"/>
    <w:rsid w:val="009C7F3C"/>
    <w:rsid w:val="009E21A5"/>
    <w:rsid w:val="009F5410"/>
    <w:rsid w:val="00A031EF"/>
    <w:rsid w:val="00A05036"/>
    <w:rsid w:val="00A06AA3"/>
    <w:rsid w:val="00A15DB0"/>
    <w:rsid w:val="00A32CB2"/>
    <w:rsid w:val="00A36097"/>
    <w:rsid w:val="00A52151"/>
    <w:rsid w:val="00A561A6"/>
    <w:rsid w:val="00A61B6E"/>
    <w:rsid w:val="00A62BD4"/>
    <w:rsid w:val="00A63907"/>
    <w:rsid w:val="00A71A8A"/>
    <w:rsid w:val="00A77252"/>
    <w:rsid w:val="00A94FFD"/>
    <w:rsid w:val="00A96018"/>
    <w:rsid w:val="00AA50FB"/>
    <w:rsid w:val="00AA7513"/>
    <w:rsid w:val="00AB3FA9"/>
    <w:rsid w:val="00AB6348"/>
    <w:rsid w:val="00AD0976"/>
    <w:rsid w:val="00AF0A56"/>
    <w:rsid w:val="00AF5EB7"/>
    <w:rsid w:val="00B102B2"/>
    <w:rsid w:val="00B20C37"/>
    <w:rsid w:val="00B328FD"/>
    <w:rsid w:val="00B355F0"/>
    <w:rsid w:val="00B41089"/>
    <w:rsid w:val="00B45F78"/>
    <w:rsid w:val="00B64E26"/>
    <w:rsid w:val="00B66871"/>
    <w:rsid w:val="00B6794B"/>
    <w:rsid w:val="00B74D5B"/>
    <w:rsid w:val="00B86689"/>
    <w:rsid w:val="00BA4D25"/>
    <w:rsid w:val="00BB112B"/>
    <w:rsid w:val="00BC3314"/>
    <w:rsid w:val="00BE218F"/>
    <w:rsid w:val="00C10CDF"/>
    <w:rsid w:val="00C15B4C"/>
    <w:rsid w:val="00C15F79"/>
    <w:rsid w:val="00C27D4D"/>
    <w:rsid w:val="00C27E3B"/>
    <w:rsid w:val="00C338B9"/>
    <w:rsid w:val="00C519BE"/>
    <w:rsid w:val="00C62ED1"/>
    <w:rsid w:val="00C62F06"/>
    <w:rsid w:val="00C6339A"/>
    <w:rsid w:val="00C85D63"/>
    <w:rsid w:val="00CA4942"/>
    <w:rsid w:val="00CF7A4A"/>
    <w:rsid w:val="00D009BC"/>
    <w:rsid w:val="00D1050F"/>
    <w:rsid w:val="00D11471"/>
    <w:rsid w:val="00D30E52"/>
    <w:rsid w:val="00D32695"/>
    <w:rsid w:val="00D3552F"/>
    <w:rsid w:val="00D51FBE"/>
    <w:rsid w:val="00DA0D10"/>
    <w:rsid w:val="00DA328F"/>
    <w:rsid w:val="00DC4C3D"/>
    <w:rsid w:val="00DD62D7"/>
    <w:rsid w:val="00DE0238"/>
    <w:rsid w:val="00DF19D9"/>
    <w:rsid w:val="00DF1EEA"/>
    <w:rsid w:val="00DF68DF"/>
    <w:rsid w:val="00E05A6F"/>
    <w:rsid w:val="00E30CB3"/>
    <w:rsid w:val="00E40C97"/>
    <w:rsid w:val="00E4500A"/>
    <w:rsid w:val="00E65CE7"/>
    <w:rsid w:val="00E84433"/>
    <w:rsid w:val="00E86681"/>
    <w:rsid w:val="00E90450"/>
    <w:rsid w:val="00EA0D32"/>
    <w:rsid w:val="00EA1BDF"/>
    <w:rsid w:val="00EA52D8"/>
    <w:rsid w:val="00ED1F13"/>
    <w:rsid w:val="00ED5A30"/>
    <w:rsid w:val="00EE45A7"/>
    <w:rsid w:val="00F1100A"/>
    <w:rsid w:val="00F13963"/>
    <w:rsid w:val="00F16BA3"/>
    <w:rsid w:val="00F21C01"/>
    <w:rsid w:val="00F353FE"/>
    <w:rsid w:val="00F36099"/>
    <w:rsid w:val="00F47A82"/>
    <w:rsid w:val="00F83F46"/>
    <w:rsid w:val="00F947D1"/>
    <w:rsid w:val="00FA23F8"/>
    <w:rsid w:val="00FC503E"/>
    <w:rsid w:val="00FD632E"/>
    <w:rsid w:val="00FD6D21"/>
    <w:rsid w:val="00FF3B61"/>
    <w:rsid w:val="03575C81"/>
    <w:rsid w:val="05CF7F7D"/>
    <w:rsid w:val="090E293E"/>
    <w:rsid w:val="0C2558FC"/>
    <w:rsid w:val="0E801663"/>
    <w:rsid w:val="118E286E"/>
    <w:rsid w:val="139E0D62"/>
    <w:rsid w:val="162419F3"/>
    <w:rsid w:val="190F698A"/>
    <w:rsid w:val="19AF205E"/>
    <w:rsid w:val="1AE20774"/>
    <w:rsid w:val="1C935B8E"/>
    <w:rsid w:val="21627873"/>
    <w:rsid w:val="25F0369F"/>
    <w:rsid w:val="2E0651C1"/>
    <w:rsid w:val="2E990845"/>
    <w:rsid w:val="2F8135BA"/>
    <w:rsid w:val="30F85AFE"/>
    <w:rsid w:val="31CB7703"/>
    <w:rsid w:val="38D155B2"/>
    <w:rsid w:val="3A3C6A5B"/>
    <w:rsid w:val="3A52002D"/>
    <w:rsid w:val="3A6036E3"/>
    <w:rsid w:val="3B7F4E52"/>
    <w:rsid w:val="3B934DA1"/>
    <w:rsid w:val="3C6329C5"/>
    <w:rsid w:val="3CAC4825"/>
    <w:rsid w:val="3E2611A5"/>
    <w:rsid w:val="40B16B92"/>
    <w:rsid w:val="43813731"/>
    <w:rsid w:val="4392466E"/>
    <w:rsid w:val="43F9776B"/>
    <w:rsid w:val="449C6A74"/>
    <w:rsid w:val="451600FD"/>
    <w:rsid w:val="4791488A"/>
    <w:rsid w:val="480A0199"/>
    <w:rsid w:val="48C540C0"/>
    <w:rsid w:val="49227764"/>
    <w:rsid w:val="498443C6"/>
    <w:rsid w:val="49DE6A8D"/>
    <w:rsid w:val="4C900C50"/>
    <w:rsid w:val="4EE72FE2"/>
    <w:rsid w:val="524E5317"/>
    <w:rsid w:val="534A3B3F"/>
    <w:rsid w:val="537F7B8D"/>
    <w:rsid w:val="53B51901"/>
    <w:rsid w:val="582F7E91"/>
    <w:rsid w:val="5ABD553F"/>
    <w:rsid w:val="5B6559BA"/>
    <w:rsid w:val="5C87131E"/>
    <w:rsid w:val="5DC56BE4"/>
    <w:rsid w:val="60A96349"/>
    <w:rsid w:val="628F5A13"/>
    <w:rsid w:val="636D4CB4"/>
    <w:rsid w:val="67470882"/>
    <w:rsid w:val="681744E0"/>
    <w:rsid w:val="6BAC4F3F"/>
    <w:rsid w:val="6E2E7E8E"/>
    <w:rsid w:val="6F6873CF"/>
    <w:rsid w:val="733A72D5"/>
    <w:rsid w:val="787F24BF"/>
    <w:rsid w:val="7CB43C54"/>
    <w:rsid w:val="7D4C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5EEF6"/>
  <w15:docId w15:val="{11C566BF-8BF4-4914-A532-7FBD2880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tyle>
  <w:style w:type="paragraph" w:styleId="TOC2">
    <w:name w:val="toc 2"/>
    <w:basedOn w:val="a"/>
    <w:next w:val="a"/>
    <w:pPr>
      <w:ind w:leftChars="200" w:left="420"/>
    </w:pPr>
  </w:style>
  <w:style w:type="paragraph" w:styleId="ab">
    <w:name w:val="Normal (Web)"/>
    <w:basedOn w:val="a"/>
    <w:uiPriority w:val="99"/>
    <w:unhideWhenUsed/>
    <w:qFormat/>
    <w:pPr>
      <w:widowControl/>
      <w:spacing w:before="100" w:beforeAutospacing="1" w:after="100" w:afterAutospacing="1"/>
      <w:jc w:val="left"/>
    </w:pPr>
    <w:rPr>
      <w:rFonts w:ascii="Wingdings" w:eastAsia="Wingdings" w:hAnsi="Wingdings" w:cs="Wingdings"/>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af">
    <w:name w:val="段"/>
    <w:link w:val="Char"/>
    <w:qFormat/>
    <w:pPr>
      <w:tabs>
        <w:tab w:val="center" w:pos="4201"/>
        <w:tab w:val="right" w:leader="dot" w:pos="9298"/>
      </w:tabs>
      <w:autoSpaceDE w:val="0"/>
      <w:autoSpaceDN w:val="0"/>
      <w:ind w:firstLineChars="200" w:firstLine="420"/>
      <w:jc w:val="both"/>
    </w:pPr>
    <w:rPr>
      <w:rFonts w:ascii="Wingdings" w:hAnsi="Cambria Math" w:cs="Cambria Math"/>
      <w:sz w:val="21"/>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styleId="af0">
    <w:name w:val="List Paragraph"/>
    <w:basedOn w:val="a"/>
    <w:uiPriority w:val="99"/>
    <w:qFormat/>
    <w:pPr>
      <w:ind w:firstLineChars="200" w:firstLine="420"/>
    </w:pPr>
  </w:style>
  <w:style w:type="character" w:customStyle="1" w:styleId="Char">
    <w:name w:val="段 Char"/>
    <w:link w:val="af"/>
    <w:qFormat/>
    <w:rPr>
      <w:rFonts w:ascii="Wingdings" w:hAnsi="Cambria Math" w:cs="Cambria Math"/>
      <w:sz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paragraph" w:customStyle="1" w:styleId="a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417</Words>
  <Characters>2381</Characters>
  <Application>Microsoft Office Word</Application>
  <DocSecurity>0</DocSecurity>
  <Lines>19</Lines>
  <Paragraphs>5</Paragraphs>
  <ScaleCrop>false</ScaleCrop>
  <Company>神州网信技术有限公司</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lkf</dc:creator>
  <cp:lastModifiedBy>海英 赵</cp:lastModifiedBy>
  <cp:revision>3</cp:revision>
  <dcterms:created xsi:type="dcterms:W3CDTF">2026-06-05T13:59:00Z</dcterms:created>
  <dcterms:modified xsi:type="dcterms:W3CDTF">2026-06-05T14:07:00Z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AB84FE8AAC844528AC80285307038A13_13</vt:lpwstr>
  </property>
  <property fmtid="{D5CDD505-2E9C-101B-9397-08002B2CF9AE}" pid="4" name="KSOTemplateDocerSaveRecord">
    <vt:lpwstr>eyJoZGlkIjoiNWIzNDliN2RlNWQ5NjRhYTViN2Y0NTU5ZmQwODMwMGMiLCJ1c2VySWQiOiIzMzY3NTY0MjcifQ==</vt:lpwstr>
  </property>
</Properties>
</file>